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A2" w:rsidRPr="00995FEE" w:rsidRDefault="00995FEE" w:rsidP="00EA14AB">
      <w:pPr>
        <w:spacing w:after="0" w:line="240" w:lineRule="auto"/>
        <w:rPr>
          <w:rFonts w:ascii="Times New Roman" w:hAnsi="Times New Roman" w:cs="Times New Roman"/>
          <w:b/>
          <w:sz w:val="20"/>
          <w:szCs w:val="20"/>
        </w:rPr>
      </w:pPr>
      <w:r w:rsidRPr="00995FEE">
        <w:rPr>
          <w:rFonts w:ascii="Times New Roman" w:hAnsi="Times New Roman" w:cs="Times New Roman"/>
          <w:b/>
          <w:sz w:val="20"/>
          <w:szCs w:val="20"/>
        </w:rPr>
        <w:t xml:space="preserve">I. </w:t>
      </w:r>
      <w:r>
        <w:rPr>
          <w:rFonts w:ascii="Times New Roman" w:hAnsi="Times New Roman" w:cs="Times New Roman"/>
          <w:b/>
          <w:sz w:val="20"/>
          <w:szCs w:val="20"/>
        </w:rPr>
        <w:t>BACKGROUND</w:t>
      </w:r>
    </w:p>
    <w:p w:rsidR="00995FEE" w:rsidRDefault="00995FEE" w:rsidP="00EA14AB">
      <w:pPr>
        <w:spacing w:after="0" w:line="240" w:lineRule="auto"/>
        <w:rPr>
          <w:rFonts w:ascii="Times New Roman" w:hAnsi="Times New Roman" w:cs="Times New Roman"/>
          <w:sz w:val="20"/>
          <w:szCs w:val="20"/>
        </w:rPr>
      </w:pPr>
    </w:p>
    <w:p w:rsidR="00936703" w:rsidRDefault="00936703"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Ohio Department of Transportation (ODOT) is participating in a pilot program that allows for the use of a “Safe Harbor” indirect cost rate of </w:t>
      </w:r>
      <w:r w:rsidRPr="00936703">
        <w:rPr>
          <w:rFonts w:ascii="Times New Roman" w:hAnsi="Times New Roman" w:cs="Times New Roman"/>
          <w:b/>
          <w:sz w:val="20"/>
          <w:szCs w:val="20"/>
        </w:rPr>
        <w:t>110 percent</w:t>
      </w:r>
      <w:r>
        <w:rPr>
          <w:rFonts w:ascii="Times New Roman" w:hAnsi="Times New Roman" w:cs="Times New Roman"/>
          <w:sz w:val="20"/>
          <w:szCs w:val="20"/>
        </w:rPr>
        <w:t xml:space="preserve"> to be used by </w:t>
      </w:r>
      <w:r w:rsidR="00873ABC">
        <w:rPr>
          <w:rFonts w:ascii="Times New Roman" w:hAnsi="Times New Roman" w:cs="Times New Roman"/>
          <w:sz w:val="20"/>
          <w:szCs w:val="20"/>
        </w:rPr>
        <w:t>qualifying</w:t>
      </w:r>
      <w:r>
        <w:rPr>
          <w:rFonts w:ascii="Times New Roman" w:hAnsi="Times New Roman" w:cs="Times New Roman"/>
          <w:sz w:val="20"/>
          <w:szCs w:val="20"/>
        </w:rPr>
        <w:t xml:space="preserve"> engineering consulting firms. </w:t>
      </w:r>
      <w:r w:rsidR="001A62A2">
        <w:rPr>
          <w:rFonts w:ascii="Times New Roman" w:hAnsi="Times New Roman" w:cs="Times New Roman"/>
          <w:sz w:val="20"/>
          <w:szCs w:val="20"/>
        </w:rPr>
        <w:t>The fundamental purpose of the Saf</w:t>
      </w:r>
      <w:r w:rsidR="00EA14AB" w:rsidRPr="00422C48">
        <w:rPr>
          <w:rFonts w:ascii="Times New Roman" w:hAnsi="Times New Roman" w:cs="Times New Roman"/>
          <w:sz w:val="20"/>
          <w:szCs w:val="20"/>
        </w:rPr>
        <w:t xml:space="preserve">e Harbor Indirect Cost Rate </w:t>
      </w:r>
      <w:r w:rsidR="001A62A2">
        <w:rPr>
          <w:rFonts w:ascii="Times New Roman" w:hAnsi="Times New Roman" w:cs="Times New Roman"/>
          <w:sz w:val="20"/>
          <w:szCs w:val="20"/>
        </w:rPr>
        <w:t xml:space="preserve">is to allow time for small </w:t>
      </w:r>
      <w:r w:rsidR="001D735A">
        <w:rPr>
          <w:rFonts w:ascii="Times New Roman" w:hAnsi="Times New Roman" w:cs="Times New Roman"/>
          <w:sz w:val="20"/>
          <w:szCs w:val="20"/>
        </w:rPr>
        <w:t xml:space="preserve">engineering </w:t>
      </w:r>
      <w:r w:rsidR="001A62A2">
        <w:rPr>
          <w:rFonts w:ascii="Times New Roman" w:hAnsi="Times New Roman" w:cs="Times New Roman"/>
          <w:sz w:val="20"/>
          <w:szCs w:val="20"/>
        </w:rPr>
        <w:t xml:space="preserve">consulting firms, new </w:t>
      </w:r>
      <w:r w:rsidR="001D735A">
        <w:rPr>
          <w:rFonts w:ascii="Times New Roman" w:hAnsi="Times New Roman" w:cs="Times New Roman"/>
          <w:sz w:val="20"/>
          <w:szCs w:val="20"/>
        </w:rPr>
        <w:t xml:space="preserve">engineering </w:t>
      </w:r>
      <w:r w:rsidR="001A62A2">
        <w:rPr>
          <w:rFonts w:ascii="Times New Roman" w:hAnsi="Times New Roman" w:cs="Times New Roman"/>
          <w:sz w:val="20"/>
          <w:szCs w:val="20"/>
        </w:rPr>
        <w:t>consulting firms</w:t>
      </w:r>
      <w:r w:rsidR="00CB52A3">
        <w:rPr>
          <w:rFonts w:ascii="Times New Roman" w:hAnsi="Times New Roman" w:cs="Times New Roman"/>
          <w:sz w:val="20"/>
          <w:szCs w:val="20"/>
        </w:rPr>
        <w:t>,</w:t>
      </w:r>
      <w:r w:rsidR="001A62A2">
        <w:rPr>
          <w:rFonts w:ascii="Times New Roman" w:hAnsi="Times New Roman" w:cs="Times New Roman"/>
          <w:sz w:val="20"/>
          <w:szCs w:val="20"/>
        </w:rPr>
        <w:t xml:space="preserve"> and </w:t>
      </w:r>
      <w:r w:rsidR="001D735A">
        <w:rPr>
          <w:rFonts w:ascii="Times New Roman" w:hAnsi="Times New Roman" w:cs="Times New Roman"/>
          <w:sz w:val="20"/>
          <w:szCs w:val="20"/>
        </w:rPr>
        <w:t xml:space="preserve">engineering </w:t>
      </w:r>
      <w:r w:rsidR="001A62A2">
        <w:rPr>
          <w:rFonts w:ascii="Times New Roman" w:hAnsi="Times New Roman" w:cs="Times New Roman"/>
          <w:sz w:val="20"/>
          <w:szCs w:val="20"/>
        </w:rPr>
        <w:t xml:space="preserve">consulting firms </w:t>
      </w:r>
      <w:r w:rsidR="00CB52A3">
        <w:rPr>
          <w:rFonts w:ascii="Times New Roman" w:hAnsi="Times New Roman" w:cs="Times New Roman"/>
          <w:sz w:val="20"/>
          <w:szCs w:val="20"/>
        </w:rPr>
        <w:t xml:space="preserve">that </w:t>
      </w:r>
      <w:r w:rsidR="001A62A2" w:rsidRPr="00422C48">
        <w:rPr>
          <w:rFonts w:ascii="Times New Roman" w:hAnsi="Times New Roman" w:cs="Times New Roman"/>
          <w:sz w:val="20"/>
          <w:szCs w:val="20"/>
        </w:rPr>
        <w:t xml:space="preserve">may not have previous experience with </w:t>
      </w:r>
      <w:r w:rsidR="005D3090">
        <w:rPr>
          <w:rFonts w:ascii="Times New Roman" w:hAnsi="Times New Roman" w:cs="Times New Roman"/>
          <w:sz w:val="20"/>
          <w:szCs w:val="20"/>
        </w:rPr>
        <w:t>F</w:t>
      </w:r>
      <w:r w:rsidR="001A62A2" w:rsidRPr="00422C48">
        <w:rPr>
          <w:rFonts w:ascii="Times New Roman" w:hAnsi="Times New Roman" w:cs="Times New Roman"/>
          <w:sz w:val="20"/>
          <w:szCs w:val="20"/>
        </w:rPr>
        <w:t>ederally-funded contracts</w:t>
      </w:r>
      <w:r w:rsidR="006C25AD">
        <w:rPr>
          <w:rFonts w:ascii="Times New Roman" w:hAnsi="Times New Roman" w:cs="Times New Roman"/>
          <w:sz w:val="20"/>
          <w:szCs w:val="20"/>
        </w:rPr>
        <w:t>,</w:t>
      </w:r>
      <w:r w:rsidR="001A62A2">
        <w:rPr>
          <w:rFonts w:ascii="Times New Roman" w:hAnsi="Times New Roman" w:cs="Times New Roman"/>
          <w:sz w:val="20"/>
          <w:szCs w:val="20"/>
        </w:rPr>
        <w:t xml:space="preserve"> to become </w:t>
      </w:r>
      <w:r w:rsidR="00187BCF">
        <w:rPr>
          <w:rFonts w:ascii="Times New Roman" w:hAnsi="Times New Roman" w:cs="Times New Roman"/>
          <w:sz w:val="20"/>
          <w:szCs w:val="20"/>
        </w:rPr>
        <w:t xml:space="preserve">compliant with Federal </w:t>
      </w:r>
      <w:r w:rsidR="005D3090">
        <w:rPr>
          <w:rFonts w:ascii="Times New Roman" w:hAnsi="Times New Roman" w:cs="Times New Roman"/>
          <w:sz w:val="20"/>
          <w:szCs w:val="20"/>
        </w:rPr>
        <w:t xml:space="preserve">and State </w:t>
      </w:r>
      <w:r w:rsidR="00A04A14">
        <w:rPr>
          <w:rFonts w:ascii="Times New Roman" w:hAnsi="Times New Roman" w:cs="Times New Roman"/>
          <w:sz w:val="20"/>
          <w:szCs w:val="20"/>
        </w:rPr>
        <w:t>l</w:t>
      </w:r>
      <w:r w:rsidR="00187BCF">
        <w:rPr>
          <w:rFonts w:ascii="Times New Roman" w:hAnsi="Times New Roman" w:cs="Times New Roman"/>
          <w:sz w:val="20"/>
          <w:szCs w:val="20"/>
        </w:rPr>
        <w:t xml:space="preserve">aws and Part 31 of the Federal Acquisition Regulation. </w:t>
      </w:r>
    </w:p>
    <w:p w:rsidR="00936703" w:rsidRDefault="00936703" w:rsidP="00EA14AB">
      <w:pPr>
        <w:spacing w:after="0" w:line="240" w:lineRule="auto"/>
        <w:rPr>
          <w:rFonts w:ascii="Times New Roman" w:hAnsi="Times New Roman" w:cs="Times New Roman"/>
          <w:sz w:val="20"/>
          <w:szCs w:val="20"/>
        </w:rPr>
      </w:pPr>
    </w:p>
    <w:p w:rsidR="00936703" w:rsidRDefault="009F66C5"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w:t>
      </w:r>
      <w:r w:rsidR="001D735A">
        <w:rPr>
          <w:rFonts w:ascii="Times New Roman" w:hAnsi="Times New Roman" w:cs="Times New Roman"/>
          <w:sz w:val="20"/>
          <w:szCs w:val="20"/>
        </w:rPr>
        <w:t xml:space="preserve">engineering </w:t>
      </w:r>
      <w:r>
        <w:rPr>
          <w:rFonts w:ascii="Times New Roman" w:hAnsi="Times New Roman" w:cs="Times New Roman"/>
          <w:sz w:val="20"/>
          <w:szCs w:val="20"/>
        </w:rPr>
        <w:t>consult</w:t>
      </w:r>
      <w:r w:rsidR="001D735A">
        <w:rPr>
          <w:rFonts w:ascii="Times New Roman" w:hAnsi="Times New Roman" w:cs="Times New Roman"/>
          <w:sz w:val="20"/>
          <w:szCs w:val="20"/>
        </w:rPr>
        <w:t xml:space="preserve">ant </w:t>
      </w:r>
      <w:r>
        <w:rPr>
          <w:rFonts w:ascii="Times New Roman" w:hAnsi="Times New Roman" w:cs="Times New Roman"/>
          <w:sz w:val="20"/>
          <w:szCs w:val="20"/>
        </w:rPr>
        <w:t xml:space="preserve">opting to participate in the Safe Harbor program </w:t>
      </w:r>
      <w:r w:rsidR="00936703">
        <w:rPr>
          <w:rFonts w:ascii="Times New Roman" w:hAnsi="Times New Roman" w:cs="Times New Roman"/>
          <w:sz w:val="20"/>
          <w:szCs w:val="20"/>
        </w:rPr>
        <w:t>must, at a minimum, account for and allocate labor costs appropriately to direct and indirect cost objectives in sufficient detail to demonstrate that such costs have been appropriately incurred in connection with design and engineering efforts.</w:t>
      </w:r>
      <w:r w:rsidR="004A4A3E">
        <w:rPr>
          <w:rFonts w:ascii="Times New Roman" w:hAnsi="Times New Roman" w:cs="Times New Roman"/>
          <w:sz w:val="20"/>
          <w:szCs w:val="20"/>
        </w:rPr>
        <w:t xml:space="preserve"> For example, labor costs incurred in connection with all projects must be allocated directly to said projects, regardless of whether the labor costs are billable/</w:t>
      </w:r>
      <w:r w:rsidR="00892653">
        <w:rPr>
          <w:rFonts w:ascii="Times New Roman" w:hAnsi="Times New Roman" w:cs="Times New Roman"/>
          <w:sz w:val="20"/>
          <w:szCs w:val="20"/>
        </w:rPr>
        <w:t>reimbursable</w:t>
      </w:r>
      <w:r w:rsidR="004A4A3E">
        <w:rPr>
          <w:rFonts w:ascii="Times New Roman" w:hAnsi="Times New Roman" w:cs="Times New Roman"/>
          <w:sz w:val="20"/>
          <w:szCs w:val="20"/>
        </w:rPr>
        <w:t xml:space="preserve"> by </w:t>
      </w:r>
      <w:r w:rsidR="00892653">
        <w:rPr>
          <w:rFonts w:ascii="Times New Roman" w:hAnsi="Times New Roman" w:cs="Times New Roman"/>
          <w:sz w:val="20"/>
          <w:szCs w:val="20"/>
        </w:rPr>
        <w:t xml:space="preserve">a specific </w:t>
      </w:r>
      <w:r w:rsidR="004A4A3E">
        <w:rPr>
          <w:rFonts w:ascii="Times New Roman" w:hAnsi="Times New Roman" w:cs="Times New Roman"/>
          <w:sz w:val="20"/>
          <w:szCs w:val="20"/>
        </w:rPr>
        <w:t>contract. Additionally, labor hours expended on non-project activities must be properly allocated to indirect cost codes, such as paid leave, general office/administrative, training, proposal development, etc.</w:t>
      </w:r>
      <w:r w:rsidR="0093670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36703" w:rsidRDefault="00936703" w:rsidP="00EA14AB">
      <w:pPr>
        <w:spacing w:after="0" w:line="240" w:lineRule="auto"/>
        <w:rPr>
          <w:rFonts w:ascii="Times New Roman" w:hAnsi="Times New Roman" w:cs="Times New Roman"/>
          <w:sz w:val="20"/>
          <w:szCs w:val="20"/>
        </w:rPr>
      </w:pPr>
    </w:p>
    <w:p w:rsidR="00187BCF" w:rsidRDefault="004A4A3E"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936703">
        <w:rPr>
          <w:rFonts w:ascii="Times New Roman" w:hAnsi="Times New Roman" w:cs="Times New Roman"/>
          <w:sz w:val="20"/>
          <w:szCs w:val="20"/>
        </w:rPr>
        <w:t xml:space="preserve">hese engineering consultants </w:t>
      </w:r>
      <w:r>
        <w:rPr>
          <w:rFonts w:ascii="Times New Roman" w:hAnsi="Times New Roman" w:cs="Times New Roman"/>
          <w:sz w:val="20"/>
          <w:szCs w:val="20"/>
        </w:rPr>
        <w:t xml:space="preserve">also must </w:t>
      </w:r>
      <w:r w:rsidR="00936703">
        <w:rPr>
          <w:rFonts w:ascii="Times New Roman" w:hAnsi="Times New Roman" w:cs="Times New Roman"/>
          <w:sz w:val="20"/>
          <w:szCs w:val="20"/>
        </w:rPr>
        <w:t xml:space="preserve">establish a </w:t>
      </w:r>
      <w:r w:rsidR="00187BCF">
        <w:rPr>
          <w:rFonts w:ascii="Times New Roman" w:hAnsi="Times New Roman" w:cs="Times New Roman"/>
          <w:sz w:val="20"/>
          <w:szCs w:val="20"/>
        </w:rPr>
        <w:t>“Pathway to Compliance</w:t>
      </w:r>
      <w:r w:rsidR="005D3090">
        <w:rPr>
          <w:rFonts w:ascii="Times New Roman" w:hAnsi="Times New Roman" w:cs="Times New Roman"/>
          <w:sz w:val="20"/>
          <w:szCs w:val="20"/>
        </w:rPr>
        <w:t>.</w:t>
      </w:r>
      <w:r w:rsidR="00187BCF">
        <w:rPr>
          <w:rFonts w:ascii="Times New Roman" w:hAnsi="Times New Roman" w:cs="Times New Roman"/>
          <w:sz w:val="20"/>
          <w:szCs w:val="20"/>
        </w:rPr>
        <w:t>”</w:t>
      </w:r>
      <w:r w:rsidR="00936703">
        <w:rPr>
          <w:rFonts w:ascii="Times New Roman" w:hAnsi="Times New Roman" w:cs="Times New Roman"/>
          <w:sz w:val="20"/>
          <w:szCs w:val="20"/>
        </w:rPr>
        <w:t xml:space="preserve"> </w:t>
      </w:r>
      <w:r w:rsidR="00187BCF">
        <w:rPr>
          <w:rFonts w:ascii="Times New Roman" w:hAnsi="Times New Roman" w:cs="Times New Roman"/>
          <w:sz w:val="20"/>
          <w:szCs w:val="20"/>
        </w:rPr>
        <w:t xml:space="preserve">The Pathway must </w:t>
      </w:r>
      <w:r w:rsidR="00995FEE">
        <w:rPr>
          <w:rFonts w:ascii="Times New Roman" w:hAnsi="Times New Roman" w:cs="Times New Roman"/>
          <w:sz w:val="20"/>
          <w:szCs w:val="20"/>
        </w:rPr>
        <w:t>include the following characteristics</w:t>
      </w:r>
      <w:r w:rsidR="00187BCF">
        <w:rPr>
          <w:rFonts w:ascii="Times New Roman" w:hAnsi="Times New Roman" w:cs="Times New Roman"/>
          <w:sz w:val="20"/>
          <w:szCs w:val="20"/>
        </w:rPr>
        <w:t>:</w:t>
      </w:r>
    </w:p>
    <w:p w:rsidR="001D735A" w:rsidRDefault="001D735A" w:rsidP="00EA14AB">
      <w:pPr>
        <w:spacing w:after="0" w:line="240" w:lineRule="auto"/>
        <w:rPr>
          <w:rFonts w:ascii="Times New Roman" w:hAnsi="Times New Roman" w:cs="Times New Roman"/>
          <w:sz w:val="20"/>
          <w:szCs w:val="20"/>
        </w:rPr>
      </w:pPr>
    </w:p>
    <w:p w:rsidR="00187BCF" w:rsidRPr="006C25AD" w:rsidRDefault="00187BCF" w:rsidP="006C25AD">
      <w:pPr>
        <w:pStyle w:val="ListParagraph"/>
        <w:numPr>
          <w:ilvl w:val="0"/>
          <w:numId w:val="16"/>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 xml:space="preserve">An accounting system </w:t>
      </w:r>
      <w:r w:rsidR="00994D77" w:rsidRPr="006C25AD">
        <w:rPr>
          <w:rFonts w:ascii="Times New Roman" w:hAnsi="Times New Roman" w:cs="Times New Roman"/>
          <w:bCs/>
          <w:sz w:val="20"/>
          <w:szCs w:val="20"/>
        </w:rPr>
        <w:t>that</w:t>
      </w:r>
      <w:r w:rsidRPr="006C25AD">
        <w:rPr>
          <w:rFonts w:ascii="Times New Roman" w:hAnsi="Times New Roman" w:cs="Times New Roman"/>
          <w:bCs/>
          <w:sz w:val="20"/>
          <w:szCs w:val="20"/>
        </w:rPr>
        <w:t xml:space="preserve"> </w:t>
      </w:r>
      <w:r w:rsidR="00892653">
        <w:rPr>
          <w:rFonts w:ascii="Times New Roman" w:hAnsi="Times New Roman" w:cs="Times New Roman"/>
          <w:bCs/>
          <w:sz w:val="20"/>
          <w:szCs w:val="20"/>
        </w:rPr>
        <w:t>segregates</w:t>
      </w:r>
      <w:r w:rsidRPr="006C25AD">
        <w:rPr>
          <w:rFonts w:ascii="Times New Roman" w:hAnsi="Times New Roman" w:cs="Times New Roman"/>
          <w:bCs/>
          <w:sz w:val="20"/>
          <w:szCs w:val="20"/>
        </w:rPr>
        <w:t xml:space="preserve"> indirect costs and direct costs</w:t>
      </w:r>
      <w:r w:rsidR="00A04A14" w:rsidRPr="006C25AD">
        <w:rPr>
          <w:rFonts w:ascii="Times New Roman" w:hAnsi="Times New Roman" w:cs="Times New Roman"/>
          <w:bCs/>
          <w:sz w:val="20"/>
          <w:szCs w:val="20"/>
        </w:rPr>
        <w:t>.</w:t>
      </w:r>
    </w:p>
    <w:p w:rsidR="00187BCF" w:rsidRPr="006C25AD" w:rsidRDefault="00187BCF" w:rsidP="006C25AD">
      <w:pPr>
        <w:pStyle w:val="ListParagraph"/>
        <w:numPr>
          <w:ilvl w:val="0"/>
          <w:numId w:val="16"/>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 xml:space="preserve">An accounting system </w:t>
      </w:r>
      <w:r w:rsidR="00994D77" w:rsidRPr="006C25AD">
        <w:rPr>
          <w:rFonts w:ascii="Times New Roman" w:hAnsi="Times New Roman" w:cs="Times New Roman"/>
          <w:bCs/>
          <w:sz w:val="20"/>
          <w:szCs w:val="20"/>
        </w:rPr>
        <w:t>that</w:t>
      </w:r>
      <w:r w:rsidRPr="006C25AD">
        <w:rPr>
          <w:rFonts w:ascii="Times New Roman" w:hAnsi="Times New Roman" w:cs="Times New Roman"/>
          <w:bCs/>
          <w:sz w:val="20"/>
          <w:szCs w:val="20"/>
        </w:rPr>
        <w:t xml:space="preserve"> </w:t>
      </w:r>
      <w:r w:rsidR="00892653">
        <w:rPr>
          <w:rFonts w:ascii="Times New Roman" w:hAnsi="Times New Roman" w:cs="Times New Roman"/>
          <w:bCs/>
          <w:sz w:val="20"/>
          <w:szCs w:val="20"/>
        </w:rPr>
        <w:t>segregates</w:t>
      </w:r>
      <w:r w:rsidR="00892653" w:rsidRPr="006C25AD">
        <w:rPr>
          <w:rFonts w:ascii="Times New Roman" w:hAnsi="Times New Roman" w:cs="Times New Roman"/>
          <w:bCs/>
          <w:sz w:val="20"/>
          <w:szCs w:val="20"/>
        </w:rPr>
        <w:t xml:space="preserve"> </w:t>
      </w:r>
      <w:r w:rsidRPr="006C25AD">
        <w:rPr>
          <w:rFonts w:ascii="Times New Roman" w:hAnsi="Times New Roman" w:cs="Times New Roman"/>
          <w:bCs/>
          <w:sz w:val="20"/>
          <w:szCs w:val="20"/>
        </w:rPr>
        <w:t>allowable and unallowable cost</w:t>
      </w:r>
      <w:r w:rsidR="000A0EF1" w:rsidRPr="006C25AD">
        <w:rPr>
          <w:rFonts w:ascii="Times New Roman" w:hAnsi="Times New Roman" w:cs="Times New Roman"/>
          <w:bCs/>
          <w:sz w:val="20"/>
          <w:szCs w:val="20"/>
        </w:rPr>
        <w:t>s</w:t>
      </w:r>
      <w:r w:rsidR="00936703">
        <w:rPr>
          <w:rFonts w:ascii="Times New Roman" w:hAnsi="Times New Roman" w:cs="Times New Roman"/>
          <w:bCs/>
          <w:sz w:val="20"/>
          <w:szCs w:val="20"/>
        </w:rPr>
        <w:t xml:space="preserve">, as defined in </w:t>
      </w:r>
      <w:r w:rsidR="00936703" w:rsidRPr="006C25AD">
        <w:rPr>
          <w:rFonts w:ascii="Times New Roman" w:hAnsi="Times New Roman" w:cs="Times New Roman"/>
          <w:bCs/>
          <w:sz w:val="20"/>
          <w:szCs w:val="20"/>
        </w:rPr>
        <w:t>Part 31 of the Federal Acquisition Regulation</w:t>
      </w:r>
      <w:r w:rsidR="00936703">
        <w:rPr>
          <w:rFonts w:ascii="Times New Roman" w:hAnsi="Times New Roman" w:cs="Times New Roman"/>
          <w:bCs/>
          <w:sz w:val="20"/>
          <w:szCs w:val="20"/>
        </w:rPr>
        <w:t xml:space="preserve"> (FAR)</w:t>
      </w:r>
      <w:r w:rsidR="00A04A14" w:rsidRPr="006C25AD">
        <w:rPr>
          <w:rFonts w:ascii="Times New Roman" w:hAnsi="Times New Roman" w:cs="Times New Roman"/>
          <w:bCs/>
          <w:sz w:val="20"/>
          <w:szCs w:val="20"/>
        </w:rPr>
        <w:t>.</w:t>
      </w:r>
    </w:p>
    <w:p w:rsidR="00187BCF" w:rsidRPr="006C25AD" w:rsidRDefault="00187BCF" w:rsidP="006C25AD">
      <w:pPr>
        <w:pStyle w:val="ListParagraph"/>
        <w:numPr>
          <w:ilvl w:val="0"/>
          <w:numId w:val="16"/>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A compliant job</w:t>
      </w:r>
      <w:r w:rsidR="000A0EF1" w:rsidRPr="006C25AD">
        <w:rPr>
          <w:rFonts w:ascii="Times New Roman" w:hAnsi="Times New Roman" w:cs="Times New Roman"/>
          <w:bCs/>
          <w:sz w:val="20"/>
          <w:szCs w:val="20"/>
        </w:rPr>
        <w:t>-</w:t>
      </w:r>
      <w:r w:rsidRPr="006C25AD">
        <w:rPr>
          <w:rFonts w:ascii="Times New Roman" w:hAnsi="Times New Roman" w:cs="Times New Roman"/>
          <w:bCs/>
          <w:sz w:val="20"/>
          <w:szCs w:val="20"/>
        </w:rPr>
        <w:t xml:space="preserve">cost system </w:t>
      </w:r>
      <w:r w:rsidR="00994D77" w:rsidRPr="006C25AD">
        <w:rPr>
          <w:rFonts w:ascii="Times New Roman" w:hAnsi="Times New Roman" w:cs="Times New Roman"/>
          <w:bCs/>
          <w:sz w:val="20"/>
          <w:szCs w:val="20"/>
        </w:rPr>
        <w:t>that</w:t>
      </w:r>
      <w:r w:rsidRPr="006C25AD">
        <w:rPr>
          <w:rFonts w:ascii="Times New Roman" w:hAnsi="Times New Roman" w:cs="Times New Roman"/>
          <w:bCs/>
          <w:sz w:val="20"/>
          <w:szCs w:val="20"/>
        </w:rPr>
        <w:t xml:space="preserve"> is </w:t>
      </w:r>
      <w:r w:rsidR="00994D77" w:rsidRPr="006C25AD">
        <w:rPr>
          <w:rFonts w:ascii="Times New Roman" w:hAnsi="Times New Roman" w:cs="Times New Roman"/>
          <w:bCs/>
          <w:sz w:val="20"/>
          <w:szCs w:val="20"/>
        </w:rPr>
        <w:t>managed through the use of a general ledger</w:t>
      </w:r>
      <w:r w:rsidR="00A04A14" w:rsidRPr="006C25AD">
        <w:rPr>
          <w:rFonts w:ascii="Times New Roman" w:hAnsi="Times New Roman" w:cs="Times New Roman"/>
          <w:bCs/>
          <w:sz w:val="20"/>
          <w:szCs w:val="20"/>
        </w:rPr>
        <w:t>.</w:t>
      </w:r>
    </w:p>
    <w:p w:rsidR="004A5C68" w:rsidRPr="006C25AD" w:rsidRDefault="00187BCF" w:rsidP="006C25AD">
      <w:pPr>
        <w:pStyle w:val="ListParagraph"/>
        <w:numPr>
          <w:ilvl w:val="0"/>
          <w:numId w:val="16"/>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A project cost estimation system that agrees with the job</w:t>
      </w:r>
      <w:r w:rsidR="00994D77" w:rsidRPr="006C25AD">
        <w:rPr>
          <w:rFonts w:ascii="Times New Roman" w:hAnsi="Times New Roman" w:cs="Times New Roman"/>
          <w:bCs/>
          <w:sz w:val="20"/>
          <w:szCs w:val="20"/>
        </w:rPr>
        <w:t>-</w:t>
      </w:r>
      <w:r w:rsidRPr="006C25AD">
        <w:rPr>
          <w:rFonts w:ascii="Times New Roman" w:hAnsi="Times New Roman" w:cs="Times New Roman"/>
          <w:bCs/>
          <w:sz w:val="20"/>
          <w:szCs w:val="20"/>
        </w:rPr>
        <w:t>cost system</w:t>
      </w:r>
      <w:r w:rsidR="00A04A14" w:rsidRPr="006C25AD">
        <w:rPr>
          <w:rFonts w:ascii="Times New Roman" w:hAnsi="Times New Roman" w:cs="Times New Roman"/>
          <w:bCs/>
          <w:sz w:val="20"/>
          <w:szCs w:val="20"/>
        </w:rPr>
        <w:t>.</w:t>
      </w:r>
    </w:p>
    <w:p w:rsidR="004A5C68" w:rsidRPr="006C25AD" w:rsidRDefault="004A5C68" w:rsidP="006C25AD">
      <w:pPr>
        <w:pStyle w:val="ListParagraph"/>
        <w:numPr>
          <w:ilvl w:val="0"/>
          <w:numId w:val="16"/>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 xml:space="preserve">Training for accounting personnel and key management on </w:t>
      </w:r>
      <w:r w:rsidR="00936703">
        <w:rPr>
          <w:rFonts w:ascii="Times New Roman" w:hAnsi="Times New Roman" w:cs="Times New Roman"/>
          <w:bCs/>
          <w:sz w:val="20"/>
          <w:szCs w:val="20"/>
        </w:rPr>
        <w:t xml:space="preserve">FAR </w:t>
      </w:r>
      <w:r w:rsidRPr="006C25AD">
        <w:rPr>
          <w:rFonts w:ascii="Times New Roman" w:hAnsi="Times New Roman" w:cs="Times New Roman"/>
          <w:bCs/>
          <w:sz w:val="20"/>
          <w:szCs w:val="20"/>
        </w:rPr>
        <w:t>Part 31</w:t>
      </w:r>
      <w:r w:rsidR="00DA62D4" w:rsidRPr="006C25AD">
        <w:rPr>
          <w:rFonts w:ascii="Times New Roman" w:hAnsi="Times New Roman" w:cs="Times New Roman"/>
          <w:bCs/>
          <w:sz w:val="20"/>
          <w:szCs w:val="20"/>
        </w:rPr>
        <w:t>.</w:t>
      </w:r>
    </w:p>
    <w:p w:rsidR="00C604BD" w:rsidRPr="006C25AD" w:rsidRDefault="004A5C68" w:rsidP="006C25AD">
      <w:pPr>
        <w:pStyle w:val="ListParagraph"/>
        <w:numPr>
          <w:ilvl w:val="0"/>
          <w:numId w:val="16"/>
        </w:numPr>
        <w:spacing w:after="0" w:line="240" w:lineRule="auto"/>
        <w:rPr>
          <w:rFonts w:ascii="Times New Roman" w:hAnsi="Times New Roman" w:cs="Times New Roman"/>
          <w:sz w:val="20"/>
          <w:szCs w:val="20"/>
        </w:rPr>
      </w:pPr>
      <w:r w:rsidRPr="006C25AD">
        <w:rPr>
          <w:rFonts w:ascii="Times New Roman" w:hAnsi="Times New Roman" w:cs="Times New Roman"/>
          <w:sz w:val="20"/>
          <w:szCs w:val="20"/>
        </w:rPr>
        <w:t>A</w:t>
      </w:r>
      <w:r w:rsidR="000A0EF1" w:rsidRPr="006C25AD">
        <w:rPr>
          <w:rFonts w:ascii="Times New Roman" w:hAnsi="Times New Roman" w:cs="Times New Roman"/>
          <w:sz w:val="20"/>
          <w:szCs w:val="20"/>
        </w:rPr>
        <w:t xml:space="preserve">n adequate </w:t>
      </w:r>
      <w:r w:rsidRPr="006C25AD">
        <w:rPr>
          <w:rFonts w:ascii="Times New Roman" w:hAnsi="Times New Roman" w:cs="Times New Roman"/>
          <w:sz w:val="20"/>
          <w:szCs w:val="20"/>
        </w:rPr>
        <w:t>written internal control</w:t>
      </w:r>
      <w:r w:rsidR="00C604BD" w:rsidRPr="006C25AD">
        <w:rPr>
          <w:rFonts w:ascii="Times New Roman" w:hAnsi="Times New Roman" w:cs="Times New Roman"/>
          <w:sz w:val="20"/>
          <w:szCs w:val="20"/>
        </w:rPr>
        <w:t xml:space="preserve"> policy</w:t>
      </w:r>
      <w:r w:rsidR="00994D77" w:rsidRPr="006C25AD">
        <w:rPr>
          <w:rFonts w:ascii="Times New Roman" w:hAnsi="Times New Roman" w:cs="Times New Roman"/>
          <w:sz w:val="20"/>
          <w:szCs w:val="20"/>
        </w:rPr>
        <w:t xml:space="preserve">, including </w:t>
      </w:r>
      <w:r w:rsidR="00C604BD" w:rsidRPr="006C25AD">
        <w:rPr>
          <w:rFonts w:ascii="Times New Roman" w:hAnsi="Times New Roman" w:cs="Times New Roman"/>
          <w:sz w:val="20"/>
          <w:szCs w:val="20"/>
        </w:rPr>
        <w:t>a policy and procedures manual</w:t>
      </w:r>
      <w:r w:rsidR="00892653">
        <w:rPr>
          <w:rFonts w:ascii="Times New Roman" w:hAnsi="Times New Roman" w:cs="Times New Roman"/>
          <w:sz w:val="20"/>
          <w:szCs w:val="20"/>
        </w:rPr>
        <w:t>, and consistent implementation of such policies and procedures.</w:t>
      </w:r>
    </w:p>
    <w:p w:rsidR="00187BCF" w:rsidRDefault="00187BCF" w:rsidP="00C604BD">
      <w:pPr>
        <w:spacing w:after="0" w:line="240" w:lineRule="auto"/>
        <w:rPr>
          <w:rFonts w:ascii="Times New Roman" w:hAnsi="Times New Roman" w:cs="Times New Roman"/>
          <w:sz w:val="20"/>
          <w:szCs w:val="20"/>
        </w:rPr>
      </w:pPr>
      <w:r w:rsidRPr="00C604BD">
        <w:rPr>
          <w:rFonts w:ascii="Times New Roman" w:hAnsi="Times New Roman" w:cs="Times New Roman"/>
          <w:sz w:val="20"/>
          <w:szCs w:val="20"/>
        </w:rPr>
        <w:t xml:space="preserve">  </w:t>
      </w:r>
    </w:p>
    <w:p w:rsidR="00995FEE" w:rsidRDefault="00995FEE" w:rsidP="00892653">
      <w:pPr>
        <w:pBdr>
          <w:bottom w:val="single" w:sz="4" w:space="1" w:color="auto"/>
        </w:pBdr>
        <w:spacing w:after="60" w:line="240" w:lineRule="auto"/>
        <w:rPr>
          <w:rFonts w:ascii="Times New Roman" w:hAnsi="Times New Roman" w:cs="Times New Roman"/>
          <w:sz w:val="20"/>
          <w:szCs w:val="20"/>
        </w:rPr>
      </w:pPr>
      <w:r>
        <w:rPr>
          <w:rFonts w:ascii="Times New Roman" w:hAnsi="Times New Roman" w:cs="Times New Roman"/>
          <w:sz w:val="20"/>
          <w:szCs w:val="20"/>
        </w:rPr>
        <w:t>(These characteristic are discussed in the following paragraphs.)</w:t>
      </w:r>
    </w:p>
    <w:p w:rsidR="00892653" w:rsidRDefault="00892653" w:rsidP="00892653">
      <w:pPr>
        <w:pBdr>
          <w:bottom w:val="single" w:sz="4" w:space="1" w:color="auto"/>
        </w:pBdr>
        <w:spacing w:after="60" w:line="100" w:lineRule="exact"/>
        <w:rPr>
          <w:rFonts w:ascii="Times New Roman" w:hAnsi="Times New Roman" w:cs="Times New Roman"/>
          <w:sz w:val="20"/>
          <w:szCs w:val="20"/>
        </w:rPr>
      </w:pPr>
    </w:p>
    <w:p w:rsidR="00995FEE" w:rsidRPr="00995FEE" w:rsidRDefault="00995FEE" w:rsidP="00892653">
      <w:pPr>
        <w:spacing w:before="120" w:after="0" w:line="240" w:lineRule="auto"/>
        <w:rPr>
          <w:rFonts w:ascii="Times New Roman" w:hAnsi="Times New Roman" w:cs="Times New Roman"/>
          <w:b/>
          <w:sz w:val="20"/>
          <w:szCs w:val="20"/>
        </w:rPr>
      </w:pPr>
      <w:r w:rsidRPr="00995FEE">
        <w:rPr>
          <w:rFonts w:ascii="Times New Roman" w:hAnsi="Times New Roman" w:cs="Times New Roman"/>
          <w:b/>
          <w:sz w:val="20"/>
          <w:szCs w:val="20"/>
        </w:rPr>
        <w:t xml:space="preserve">II. </w:t>
      </w:r>
      <w:r>
        <w:rPr>
          <w:rFonts w:ascii="Times New Roman" w:hAnsi="Times New Roman" w:cs="Times New Roman"/>
          <w:b/>
          <w:sz w:val="20"/>
          <w:szCs w:val="20"/>
        </w:rPr>
        <w:t>DETAILED REQUIREMENTS</w:t>
      </w:r>
    </w:p>
    <w:p w:rsidR="00995FEE" w:rsidRPr="00C604BD" w:rsidRDefault="00995FEE" w:rsidP="00C604BD">
      <w:pPr>
        <w:spacing w:after="0" w:line="240" w:lineRule="auto"/>
        <w:rPr>
          <w:rFonts w:ascii="Times New Roman" w:hAnsi="Times New Roman" w:cs="Times New Roman"/>
          <w:sz w:val="20"/>
          <w:szCs w:val="20"/>
        </w:rPr>
      </w:pPr>
    </w:p>
    <w:p w:rsidR="0090165C" w:rsidRPr="001D735A" w:rsidRDefault="001D735A" w:rsidP="0090165C">
      <w:pPr>
        <w:spacing w:after="0" w:line="240" w:lineRule="auto"/>
        <w:rPr>
          <w:rFonts w:ascii="Times New Roman" w:hAnsi="Times New Roman" w:cs="Times New Roman"/>
          <w:b/>
          <w:sz w:val="20"/>
          <w:szCs w:val="20"/>
        </w:rPr>
      </w:pPr>
      <w:r w:rsidRPr="001D735A">
        <w:rPr>
          <w:rFonts w:ascii="Times New Roman" w:hAnsi="Times New Roman" w:cs="Times New Roman"/>
          <w:b/>
          <w:sz w:val="20"/>
          <w:szCs w:val="20"/>
        </w:rPr>
        <w:t xml:space="preserve">1. </w:t>
      </w:r>
      <w:r w:rsidR="0090165C" w:rsidRPr="001D735A">
        <w:rPr>
          <w:rFonts w:ascii="Times New Roman" w:hAnsi="Times New Roman" w:cs="Times New Roman"/>
          <w:b/>
          <w:sz w:val="20"/>
          <w:szCs w:val="20"/>
        </w:rPr>
        <w:t xml:space="preserve">An accounting system </w:t>
      </w:r>
      <w:r w:rsidR="00994D77" w:rsidRPr="001D735A">
        <w:rPr>
          <w:rFonts w:ascii="Times New Roman" w:hAnsi="Times New Roman" w:cs="Times New Roman"/>
          <w:b/>
          <w:sz w:val="20"/>
          <w:szCs w:val="20"/>
        </w:rPr>
        <w:t>that</w:t>
      </w:r>
      <w:r w:rsidR="0090165C" w:rsidRPr="001D735A">
        <w:rPr>
          <w:rFonts w:ascii="Times New Roman" w:hAnsi="Times New Roman" w:cs="Times New Roman"/>
          <w:b/>
          <w:sz w:val="20"/>
          <w:szCs w:val="20"/>
        </w:rPr>
        <w:t xml:space="preserve"> separates indirect costs and direct costs</w:t>
      </w:r>
      <w:r>
        <w:rPr>
          <w:rFonts w:ascii="Times New Roman" w:hAnsi="Times New Roman" w:cs="Times New Roman"/>
          <w:sz w:val="20"/>
          <w:szCs w:val="20"/>
        </w:rPr>
        <w:t>.</w:t>
      </w:r>
    </w:p>
    <w:p w:rsidR="0090165C" w:rsidRDefault="0090165C" w:rsidP="0090165C">
      <w:pPr>
        <w:spacing w:after="0" w:line="240" w:lineRule="auto"/>
        <w:rPr>
          <w:rFonts w:ascii="Times New Roman" w:hAnsi="Times New Roman" w:cs="Times New Roman"/>
          <w:sz w:val="20"/>
          <w:szCs w:val="20"/>
        </w:rPr>
      </w:pPr>
    </w:p>
    <w:p w:rsidR="00C75E00" w:rsidRDefault="00C75E00" w:rsidP="00C75E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evaluating an engineering consultant’s overhead, </w:t>
      </w:r>
      <w:r w:rsidR="00C17A4B">
        <w:rPr>
          <w:rFonts w:ascii="Times New Roman" w:hAnsi="Times New Roman" w:cs="Times New Roman"/>
          <w:sz w:val="20"/>
          <w:szCs w:val="20"/>
        </w:rPr>
        <w:t>consulting firms</w:t>
      </w:r>
      <w:r>
        <w:rPr>
          <w:rFonts w:ascii="Times New Roman" w:hAnsi="Times New Roman" w:cs="Times New Roman"/>
          <w:sz w:val="20"/>
          <w:szCs w:val="20"/>
        </w:rPr>
        <w:t xml:space="preserve"> should consider direct as well as indirect costs. A direct cost is any cost that can be identified specifically with a particular contract or project. Costs identified specifically with a contract or project are direct costs and must be allocated/charged directly to the contract or project. All costs specifically identified with a project are direct costs of that project and may not be allocated to another project, either directly or indirectly. Finally, a cost may not be charged as direct and also be included in an indirect cost pool. For reasons of practicality, any small dollar direct cost may be treated as an indirect cost if the accounting treatment is consistently applied to all projects and produces substantially the same results as treating the cost as a direct cost. However, any variances and credits should then also be treated as indirect costs. </w:t>
      </w:r>
    </w:p>
    <w:p w:rsidR="00C75E00" w:rsidRDefault="00C75E00" w:rsidP="00C75E00">
      <w:pPr>
        <w:autoSpaceDE w:val="0"/>
        <w:autoSpaceDN w:val="0"/>
        <w:adjustRightInd w:val="0"/>
        <w:spacing w:after="0" w:line="240" w:lineRule="auto"/>
        <w:rPr>
          <w:rFonts w:ascii="Times New Roman" w:hAnsi="Times New Roman" w:cs="Times New Roman"/>
          <w:sz w:val="20"/>
          <w:szCs w:val="20"/>
        </w:rPr>
      </w:pPr>
    </w:p>
    <w:p w:rsidR="00C75E00" w:rsidRDefault="00C75E00" w:rsidP="00C75E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Indirect costs should be accumulated by logical cost groupings with due consideration of the reasons for incurring such costs. Commonly, manufacturing overhead, selling expenses, and general and administrative (G&amp;A) expenses are separately grouped. The engineering consultant must record indirect costs in accordance with </w:t>
      </w:r>
      <w:r w:rsidR="00CB52A3">
        <w:rPr>
          <w:rFonts w:ascii="Times New Roman" w:hAnsi="Times New Roman" w:cs="Times New Roman"/>
          <w:sz w:val="20"/>
          <w:szCs w:val="20"/>
        </w:rPr>
        <w:t>Generally Accepted Accounting Principles (</w:t>
      </w:r>
      <w:r>
        <w:rPr>
          <w:rFonts w:ascii="Times New Roman" w:hAnsi="Times New Roman" w:cs="Times New Roman"/>
          <w:sz w:val="20"/>
          <w:szCs w:val="20"/>
        </w:rPr>
        <w:t>GAAP</w:t>
      </w:r>
      <w:r w:rsidR="00CB52A3">
        <w:rPr>
          <w:rFonts w:ascii="Times New Roman" w:hAnsi="Times New Roman" w:cs="Times New Roman"/>
          <w:sz w:val="20"/>
          <w:szCs w:val="20"/>
        </w:rPr>
        <w:t>)</w:t>
      </w:r>
      <w:r>
        <w:rPr>
          <w:rFonts w:ascii="Times New Roman" w:hAnsi="Times New Roman" w:cs="Times New Roman"/>
          <w:sz w:val="20"/>
          <w:szCs w:val="20"/>
        </w:rPr>
        <w:t xml:space="preserve"> and must consistently allocate these costs to intermediate or final cost objectives, as appropriate.</w:t>
      </w:r>
    </w:p>
    <w:p w:rsidR="00C75E00" w:rsidRDefault="00C75E00" w:rsidP="00C75E00">
      <w:pPr>
        <w:spacing w:after="0" w:line="240" w:lineRule="auto"/>
        <w:rPr>
          <w:rFonts w:ascii="Times New Roman" w:hAnsi="Times New Roman" w:cs="Times New Roman"/>
          <w:sz w:val="20"/>
          <w:szCs w:val="20"/>
        </w:rPr>
      </w:pPr>
    </w:p>
    <w:p w:rsidR="00767FAE" w:rsidRDefault="00767FAE" w:rsidP="00790395">
      <w:pPr>
        <w:spacing w:after="60" w:line="240" w:lineRule="auto"/>
        <w:rPr>
          <w:rFonts w:ascii="Times New Roman" w:hAnsi="Times New Roman" w:cs="Times New Roman"/>
          <w:sz w:val="20"/>
          <w:szCs w:val="20"/>
        </w:rPr>
      </w:pPr>
      <w:r w:rsidRPr="00767FAE">
        <w:rPr>
          <w:rFonts w:ascii="Times New Roman" w:hAnsi="Times New Roman" w:cs="Times New Roman"/>
          <w:sz w:val="20"/>
          <w:szCs w:val="20"/>
          <w:u w:val="single"/>
        </w:rPr>
        <w:t>Guidance</w:t>
      </w:r>
      <w:r>
        <w:rPr>
          <w:rFonts w:ascii="Times New Roman" w:hAnsi="Times New Roman" w:cs="Times New Roman"/>
          <w:sz w:val="20"/>
          <w:szCs w:val="20"/>
        </w:rPr>
        <w:t xml:space="preserve">: </w:t>
      </w:r>
    </w:p>
    <w:p w:rsidR="00767FAE" w:rsidRPr="006C25AD" w:rsidRDefault="00994D77" w:rsidP="006C25AD">
      <w:pPr>
        <w:pStyle w:val="ListParagraph"/>
        <w:numPr>
          <w:ilvl w:val="0"/>
          <w:numId w:val="14"/>
        </w:numPr>
        <w:autoSpaceDE w:val="0"/>
        <w:autoSpaceDN w:val="0"/>
        <w:adjustRightInd w:val="0"/>
        <w:spacing w:after="4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 xml:space="preserve">FAR </w:t>
      </w:r>
      <w:r w:rsidR="00DE742C" w:rsidRPr="006C25AD">
        <w:rPr>
          <w:rFonts w:ascii="Times New Roman" w:hAnsi="Times New Roman" w:cs="Times New Roman"/>
          <w:bCs/>
          <w:sz w:val="20"/>
          <w:szCs w:val="20"/>
        </w:rPr>
        <w:t xml:space="preserve">31.202 </w:t>
      </w:r>
      <w:r w:rsidR="00767FAE" w:rsidRPr="006C25AD">
        <w:rPr>
          <w:rFonts w:ascii="Times New Roman" w:hAnsi="Times New Roman" w:cs="Times New Roman"/>
          <w:bCs/>
          <w:sz w:val="20"/>
          <w:szCs w:val="20"/>
        </w:rPr>
        <w:t>-</w:t>
      </w:r>
      <w:r w:rsidR="00DE742C" w:rsidRPr="006C25AD">
        <w:rPr>
          <w:rFonts w:ascii="Times New Roman" w:hAnsi="Times New Roman" w:cs="Times New Roman"/>
          <w:bCs/>
          <w:sz w:val="20"/>
          <w:szCs w:val="20"/>
        </w:rPr>
        <w:t xml:space="preserve"> direct costs. </w:t>
      </w:r>
    </w:p>
    <w:p w:rsidR="0090165C" w:rsidRPr="00892653" w:rsidRDefault="00994D77" w:rsidP="0090165C">
      <w:pPr>
        <w:pStyle w:val="ListParagraph"/>
        <w:numPr>
          <w:ilvl w:val="0"/>
          <w:numId w:val="13"/>
        </w:numPr>
        <w:spacing w:after="0" w:line="240" w:lineRule="auto"/>
        <w:rPr>
          <w:rFonts w:ascii="Times New Roman" w:hAnsi="Times New Roman" w:cs="Times New Roman"/>
          <w:sz w:val="20"/>
          <w:szCs w:val="20"/>
        </w:rPr>
      </w:pPr>
      <w:r w:rsidRPr="00892653">
        <w:rPr>
          <w:rFonts w:ascii="Times New Roman" w:hAnsi="Times New Roman" w:cs="Times New Roman"/>
          <w:sz w:val="20"/>
          <w:szCs w:val="20"/>
        </w:rPr>
        <w:t xml:space="preserve">FAR </w:t>
      </w:r>
      <w:r w:rsidR="00DE742C" w:rsidRPr="00892653">
        <w:rPr>
          <w:rFonts w:ascii="Times New Roman" w:hAnsi="Times New Roman" w:cs="Times New Roman"/>
          <w:sz w:val="20"/>
          <w:szCs w:val="20"/>
        </w:rPr>
        <w:t xml:space="preserve">31.203 </w:t>
      </w:r>
      <w:r w:rsidR="00767FAE" w:rsidRPr="00892653">
        <w:rPr>
          <w:rFonts w:ascii="Times New Roman" w:hAnsi="Times New Roman" w:cs="Times New Roman"/>
          <w:sz w:val="20"/>
          <w:szCs w:val="20"/>
        </w:rPr>
        <w:t xml:space="preserve">- </w:t>
      </w:r>
      <w:r w:rsidR="00DE742C" w:rsidRPr="00892653">
        <w:rPr>
          <w:rFonts w:ascii="Times New Roman" w:hAnsi="Times New Roman" w:cs="Times New Roman"/>
          <w:sz w:val="20"/>
          <w:szCs w:val="20"/>
        </w:rPr>
        <w:t>indirect costs.</w:t>
      </w:r>
    </w:p>
    <w:p w:rsidR="0090165C" w:rsidRDefault="006C25AD" w:rsidP="00936703">
      <w:pPr>
        <w:spacing w:after="0" w:line="240" w:lineRule="auto"/>
        <w:ind w:left="216" w:hanging="216"/>
        <w:rPr>
          <w:rFonts w:ascii="Times New Roman" w:hAnsi="Times New Roman" w:cs="Times New Roman"/>
          <w:b/>
          <w:sz w:val="20"/>
          <w:szCs w:val="20"/>
        </w:rPr>
      </w:pPr>
      <w:r>
        <w:rPr>
          <w:rFonts w:ascii="Times New Roman" w:hAnsi="Times New Roman" w:cs="Times New Roman"/>
          <w:b/>
          <w:sz w:val="20"/>
          <w:szCs w:val="20"/>
        </w:rPr>
        <w:br w:type="page"/>
      </w:r>
      <w:r w:rsidR="00994D77" w:rsidRPr="001D735A">
        <w:rPr>
          <w:rFonts w:ascii="Times New Roman" w:hAnsi="Times New Roman" w:cs="Times New Roman"/>
          <w:b/>
          <w:sz w:val="20"/>
          <w:szCs w:val="20"/>
        </w:rPr>
        <w:lastRenderedPageBreak/>
        <w:t xml:space="preserve">2. </w:t>
      </w:r>
      <w:r w:rsidR="00936703" w:rsidRPr="00936703">
        <w:rPr>
          <w:rFonts w:ascii="Times New Roman" w:hAnsi="Times New Roman" w:cs="Times New Roman"/>
          <w:b/>
          <w:sz w:val="20"/>
          <w:szCs w:val="20"/>
        </w:rPr>
        <w:t>An accounting system that separates allowable and unallowable costs, as defined in Part 31 of the Federal Acquisition Regulation (FAR)</w:t>
      </w:r>
      <w:r w:rsidR="001D735A" w:rsidRPr="00936703">
        <w:rPr>
          <w:rFonts w:ascii="Times New Roman" w:hAnsi="Times New Roman" w:cs="Times New Roman"/>
          <w:sz w:val="20"/>
          <w:szCs w:val="20"/>
        </w:rPr>
        <w:t>.</w:t>
      </w:r>
    </w:p>
    <w:p w:rsidR="00936703" w:rsidRPr="00936703" w:rsidRDefault="00936703" w:rsidP="00936703">
      <w:pPr>
        <w:spacing w:after="0" w:line="240" w:lineRule="auto"/>
        <w:ind w:left="216" w:hanging="216"/>
        <w:rPr>
          <w:rFonts w:ascii="Times New Roman" w:hAnsi="Times New Roman" w:cs="Times New Roman"/>
          <w:b/>
          <w:sz w:val="20"/>
          <w:szCs w:val="20"/>
        </w:rPr>
      </w:pPr>
    </w:p>
    <w:p w:rsidR="005264FB" w:rsidRDefault="00BA0648"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Management</w:t>
      </w:r>
      <w:r w:rsidR="00A62A11">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bears the sole responsibility for identifying, segregating and removing unallowable costs from all government contracts</w:t>
      </w:r>
      <w:r w:rsidR="006C25AD">
        <w:rPr>
          <w:rFonts w:ascii="Times New Roman" w:hAnsi="Times New Roman" w:cs="Times New Roman"/>
          <w:sz w:val="20"/>
          <w:szCs w:val="20"/>
        </w:rPr>
        <w:t xml:space="preserve">. </w:t>
      </w:r>
      <w:r>
        <w:rPr>
          <w:rFonts w:ascii="Times New Roman" w:hAnsi="Times New Roman" w:cs="Times New Roman"/>
          <w:sz w:val="20"/>
          <w:szCs w:val="20"/>
        </w:rPr>
        <w:t>This applies to direct costs, indirect costs, and any cost proposals that are submitted for government contracts</w:t>
      </w:r>
      <w:r w:rsidR="006C25AD">
        <w:rPr>
          <w:rFonts w:ascii="Times New Roman" w:hAnsi="Times New Roman" w:cs="Times New Roman"/>
          <w:sz w:val="20"/>
          <w:szCs w:val="20"/>
        </w:rPr>
        <w:t xml:space="preserve">. </w:t>
      </w:r>
      <w:r w:rsidR="005264FB">
        <w:rPr>
          <w:rFonts w:ascii="Times New Roman" w:hAnsi="Times New Roman" w:cs="Times New Roman"/>
          <w:sz w:val="20"/>
          <w:szCs w:val="20"/>
        </w:rPr>
        <w:t xml:space="preserve">A cost is allowable when the cost is allocable, reasonable and complies with the cost principles of </w:t>
      </w:r>
      <w:r w:rsidR="00994D77">
        <w:rPr>
          <w:rFonts w:ascii="Times New Roman" w:hAnsi="Times New Roman" w:cs="Times New Roman"/>
          <w:sz w:val="20"/>
          <w:szCs w:val="20"/>
        </w:rPr>
        <w:t>FAR</w:t>
      </w:r>
      <w:r w:rsidR="005264FB">
        <w:rPr>
          <w:rFonts w:ascii="Times New Roman" w:hAnsi="Times New Roman" w:cs="Times New Roman"/>
          <w:sz w:val="20"/>
          <w:szCs w:val="20"/>
        </w:rPr>
        <w:t xml:space="preserve"> Part 31</w:t>
      </w:r>
      <w:r w:rsidR="006C25AD">
        <w:rPr>
          <w:rFonts w:ascii="Times New Roman" w:hAnsi="Times New Roman" w:cs="Times New Roman"/>
          <w:sz w:val="20"/>
          <w:szCs w:val="20"/>
        </w:rPr>
        <w:t xml:space="preserve">. </w:t>
      </w:r>
      <w:r w:rsidR="005264FB">
        <w:rPr>
          <w:rFonts w:ascii="Times New Roman" w:hAnsi="Times New Roman" w:cs="Times New Roman"/>
          <w:sz w:val="20"/>
          <w:szCs w:val="20"/>
        </w:rPr>
        <w:t xml:space="preserve">The consultant </w:t>
      </w:r>
      <w:r w:rsidR="00873ABC">
        <w:rPr>
          <w:rFonts w:ascii="Times New Roman" w:hAnsi="Times New Roman" w:cs="Times New Roman"/>
          <w:sz w:val="20"/>
          <w:szCs w:val="20"/>
        </w:rPr>
        <w:t>must</w:t>
      </w:r>
      <w:r w:rsidR="005264FB">
        <w:rPr>
          <w:rFonts w:ascii="Times New Roman" w:hAnsi="Times New Roman" w:cs="Times New Roman"/>
          <w:sz w:val="20"/>
          <w:szCs w:val="20"/>
        </w:rPr>
        <w:t xml:space="preserve"> account for costs appropriately and </w:t>
      </w:r>
      <w:r w:rsidR="00873ABC">
        <w:rPr>
          <w:rFonts w:ascii="Times New Roman" w:hAnsi="Times New Roman" w:cs="Times New Roman"/>
          <w:sz w:val="20"/>
          <w:szCs w:val="20"/>
        </w:rPr>
        <w:t>must</w:t>
      </w:r>
      <w:r w:rsidR="005264FB">
        <w:rPr>
          <w:rFonts w:ascii="Times New Roman" w:hAnsi="Times New Roman" w:cs="Times New Roman"/>
          <w:sz w:val="20"/>
          <w:szCs w:val="20"/>
        </w:rPr>
        <w:t xml:space="preserve"> maintain</w:t>
      </w:r>
      <w:r w:rsidR="00873ABC">
        <w:rPr>
          <w:rFonts w:ascii="Times New Roman" w:hAnsi="Times New Roman" w:cs="Times New Roman"/>
          <w:sz w:val="20"/>
          <w:szCs w:val="20"/>
        </w:rPr>
        <w:t xml:space="preserve"> adequate </w:t>
      </w:r>
      <w:r w:rsidR="005264FB">
        <w:rPr>
          <w:rFonts w:ascii="Times New Roman" w:hAnsi="Times New Roman" w:cs="Times New Roman"/>
          <w:sz w:val="20"/>
          <w:szCs w:val="20"/>
        </w:rPr>
        <w:t>records to demonstrate that costs claimed have been incurred, are reasonable</w:t>
      </w:r>
      <w:r w:rsidR="000B1CF4">
        <w:rPr>
          <w:rFonts w:ascii="Times New Roman" w:hAnsi="Times New Roman" w:cs="Times New Roman"/>
          <w:sz w:val="20"/>
          <w:szCs w:val="20"/>
        </w:rPr>
        <w:t>,</w:t>
      </w:r>
      <w:r w:rsidR="005264FB">
        <w:rPr>
          <w:rFonts w:ascii="Times New Roman" w:hAnsi="Times New Roman" w:cs="Times New Roman"/>
          <w:sz w:val="20"/>
          <w:szCs w:val="20"/>
        </w:rPr>
        <w:t xml:space="preserve"> and are allocable. </w:t>
      </w:r>
    </w:p>
    <w:p w:rsidR="005264FB" w:rsidRDefault="005264FB" w:rsidP="0090165C">
      <w:pPr>
        <w:spacing w:after="0" w:line="240" w:lineRule="auto"/>
        <w:rPr>
          <w:rFonts w:ascii="Times New Roman" w:hAnsi="Times New Roman" w:cs="Times New Roman"/>
          <w:bCs/>
          <w:sz w:val="20"/>
          <w:szCs w:val="20"/>
        </w:rPr>
      </w:pPr>
    </w:p>
    <w:p w:rsidR="00767FAE" w:rsidRDefault="00767FAE" w:rsidP="00790395">
      <w:pPr>
        <w:spacing w:after="60" w:line="240" w:lineRule="auto"/>
        <w:rPr>
          <w:rFonts w:ascii="Times New Roman" w:hAnsi="Times New Roman" w:cs="Times New Roman"/>
          <w:sz w:val="20"/>
          <w:szCs w:val="20"/>
        </w:rPr>
      </w:pPr>
      <w:r w:rsidRPr="00767FAE">
        <w:rPr>
          <w:rFonts w:ascii="Times New Roman" w:hAnsi="Times New Roman" w:cs="Times New Roman"/>
          <w:sz w:val="20"/>
          <w:szCs w:val="20"/>
          <w:u w:val="single"/>
        </w:rPr>
        <w:t>Guidance</w:t>
      </w:r>
      <w:r w:rsidRPr="00767FAE">
        <w:rPr>
          <w:rFonts w:ascii="Times New Roman" w:hAnsi="Times New Roman" w:cs="Times New Roman"/>
          <w:sz w:val="20"/>
          <w:szCs w:val="20"/>
        </w:rPr>
        <w:t>:</w:t>
      </w:r>
    </w:p>
    <w:p w:rsidR="005264FB" w:rsidRPr="00767FAE" w:rsidRDefault="005264FB"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bCs/>
          <w:sz w:val="20"/>
          <w:szCs w:val="20"/>
        </w:rPr>
      </w:pPr>
      <w:r w:rsidRPr="00767FAE">
        <w:rPr>
          <w:rFonts w:ascii="Times New Roman" w:hAnsi="Times New Roman" w:cs="Times New Roman"/>
          <w:bCs/>
          <w:sz w:val="20"/>
          <w:szCs w:val="20"/>
        </w:rPr>
        <w:t>Chapter 7 of The AASHTO Audit Guide discusses the reasonableness and allowability of Labor Costs.</w:t>
      </w:r>
    </w:p>
    <w:p w:rsidR="008C10EC" w:rsidRPr="00767FAE" w:rsidRDefault="005264FB"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bCs/>
          <w:sz w:val="20"/>
          <w:szCs w:val="20"/>
        </w:rPr>
      </w:pPr>
      <w:r w:rsidRPr="00767FAE">
        <w:rPr>
          <w:rFonts w:ascii="Times New Roman" w:hAnsi="Times New Roman" w:cs="Times New Roman"/>
          <w:bCs/>
          <w:sz w:val="20"/>
          <w:szCs w:val="20"/>
        </w:rPr>
        <w:t xml:space="preserve">Chapter 8 of The AASHTO Audit Guide </w:t>
      </w:r>
      <w:r w:rsidR="00034336" w:rsidRPr="00767FAE">
        <w:rPr>
          <w:rFonts w:ascii="Times New Roman" w:hAnsi="Times New Roman" w:cs="Times New Roman"/>
          <w:bCs/>
          <w:sz w:val="20"/>
          <w:szCs w:val="20"/>
        </w:rPr>
        <w:t xml:space="preserve">provides FAR interpretations on </w:t>
      </w:r>
      <w:r w:rsidRPr="00767FAE">
        <w:rPr>
          <w:rFonts w:ascii="Times New Roman" w:hAnsi="Times New Roman" w:cs="Times New Roman"/>
          <w:bCs/>
          <w:sz w:val="20"/>
          <w:szCs w:val="20"/>
        </w:rPr>
        <w:t>the allowability of selected areas of costs.</w:t>
      </w:r>
    </w:p>
    <w:p w:rsidR="005264FB" w:rsidRPr="00767FAE" w:rsidRDefault="008C10EC" w:rsidP="00767FAE">
      <w:pPr>
        <w:pStyle w:val="ListParagraph"/>
        <w:numPr>
          <w:ilvl w:val="0"/>
          <w:numId w:val="12"/>
        </w:numPr>
        <w:spacing w:after="0" w:line="240" w:lineRule="auto"/>
        <w:rPr>
          <w:rFonts w:ascii="Times New Roman" w:hAnsi="Times New Roman" w:cs="Times New Roman"/>
          <w:bCs/>
          <w:sz w:val="20"/>
          <w:szCs w:val="20"/>
        </w:rPr>
      </w:pPr>
      <w:r w:rsidRPr="00767FAE">
        <w:rPr>
          <w:rFonts w:ascii="Times New Roman" w:hAnsi="Times New Roman" w:cs="Times New Roman"/>
          <w:bCs/>
          <w:sz w:val="20"/>
          <w:szCs w:val="20"/>
        </w:rPr>
        <w:t>Appendix C</w:t>
      </w:r>
      <w:r w:rsidR="005264FB" w:rsidRPr="00767FAE">
        <w:rPr>
          <w:rFonts w:ascii="Times New Roman" w:hAnsi="Times New Roman" w:cs="Times New Roman"/>
          <w:bCs/>
          <w:sz w:val="20"/>
          <w:szCs w:val="20"/>
        </w:rPr>
        <w:t xml:space="preserve"> of The AASHTO Audit Guide </w:t>
      </w:r>
      <w:r w:rsidRPr="00767FAE">
        <w:rPr>
          <w:rFonts w:ascii="Times New Roman" w:hAnsi="Times New Roman" w:cs="Times New Roman"/>
          <w:bCs/>
          <w:sz w:val="20"/>
          <w:szCs w:val="20"/>
        </w:rPr>
        <w:t xml:space="preserve">provides a keyword index to </w:t>
      </w:r>
      <w:r w:rsidR="00767FAE" w:rsidRPr="00767FAE">
        <w:rPr>
          <w:rFonts w:ascii="Times New Roman" w:hAnsi="Times New Roman" w:cs="Times New Roman"/>
          <w:sz w:val="20"/>
          <w:szCs w:val="20"/>
        </w:rPr>
        <w:t>Part 31</w:t>
      </w:r>
      <w:r w:rsidR="00767FAE">
        <w:rPr>
          <w:rFonts w:ascii="Times New Roman" w:hAnsi="Times New Roman" w:cs="Times New Roman"/>
          <w:sz w:val="20"/>
          <w:szCs w:val="20"/>
        </w:rPr>
        <w:t xml:space="preserve"> </w:t>
      </w:r>
      <w:r w:rsidRPr="00767FAE">
        <w:rPr>
          <w:rFonts w:ascii="Times New Roman" w:hAnsi="Times New Roman" w:cs="Times New Roman"/>
          <w:sz w:val="20"/>
          <w:szCs w:val="20"/>
        </w:rPr>
        <w:t xml:space="preserve">Federal Acquisition Regulation. </w:t>
      </w:r>
    </w:p>
    <w:p w:rsidR="005264FB" w:rsidRDefault="005264FB" w:rsidP="0090165C">
      <w:pPr>
        <w:spacing w:after="0" w:line="240" w:lineRule="auto"/>
        <w:rPr>
          <w:rFonts w:ascii="Times New Roman" w:hAnsi="Times New Roman" w:cs="Times New Roman"/>
          <w:sz w:val="20"/>
          <w:szCs w:val="20"/>
        </w:rPr>
      </w:pPr>
    </w:p>
    <w:p w:rsidR="0090165C" w:rsidRPr="00995FEE" w:rsidRDefault="00995FEE" w:rsidP="0090165C">
      <w:pPr>
        <w:spacing w:after="0" w:line="240" w:lineRule="auto"/>
        <w:rPr>
          <w:rFonts w:ascii="Times New Roman" w:hAnsi="Times New Roman" w:cs="Times New Roman"/>
          <w:b/>
          <w:sz w:val="20"/>
          <w:szCs w:val="20"/>
        </w:rPr>
      </w:pPr>
      <w:r w:rsidRPr="00995FEE">
        <w:rPr>
          <w:rFonts w:ascii="Times New Roman" w:hAnsi="Times New Roman" w:cs="Times New Roman"/>
          <w:b/>
          <w:sz w:val="20"/>
          <w:szCs w:val="20"/>
        </w:rPr>
        <w:t xml:space="preserve">3. </w:t>
      </w:r>
      <w:r w:rsidR="0090165C" w:rsidRPr="00995FEE">
        <w:rPr>
          <w:rFonts w:ascii="Times New Roman" w:hAnsi="Times New Roman" w:cs="Times New Roman"/>
          <w:b/>
          <w:sz w:val="20"/>
          <w:szCs w:val="20"/>
        </w:rPr>
        <w:t>A compliant job</w:t>
      </w:r>
      <w:r w:rsidR="000A0EF1">
        <w:rPr>
          <w:rFonts w:ascii="Times New Roman" w:hAnsi="Times New Roman" w:cs="Times New Roman"/>
          <w:b/>
          <w:sz w:val="20"/>
          <w:szCs w:val="20"/>
        </w:rPr>
        <w:t>-</w:t>
      </w:r>
      <w:r w:rsidR="0090165C" w:rsidRPr="00995FEE">
        <w:rPr>
          <w:rFonts w:ascii="Times New Roman" w:hAnsi="Times New Roman" w:cs="Times New Roman"/>
          <w:b/>
          <w:sz w:val="20"/>
          <w:szCs w:val="20"/>
        </w:rPr>
        <w:t xml:space="preserve">cost system </w:t>
      </w:r>
      <w:r w:rsidR="00994D77" w:rsidRPr="00995FEE">
        <w:rPr>
          <w:rFonts w:ascii="Times New Roman" w:hAnsi="Times New Roman" w:cs="Times New Roman"/>
          <w:b/>
          <w:sz w:val="20"/>
          <w:szCs w:val="20"/>
        </w:rPr>
        <w:t xml:space="preserve">that </w:t>
      </w:r>
      <w:r w:rsidR="0090165C" w:rsidRPr="00995FEE">
        <w:rPr>
          <w:rFonts w:ascii="Times New Roman" w:hAnsi="Times New Roman" w:cs="Times New Roman"/>
          <w:b/>
          <w:sz w:val="20"/>
          <w:szCs w:val="20"/>
        </w:rPr>
        <w:t xml:space="preserve">is </w:t>
      </w:r>
      <w:r w:rsidR="00994D77" w:rsidRPr="00995FEE">
        <w:rPr>
          <w:rFonts w:ascii="Times New Roman" w:hAnsi="Times New Roman" w:cs="Times New Roman"/>
          <w:b/>
          <w:sz w:val="20"/>
          <w:szCs w:val="20"/>
        </w:rPr>
        <w:t>managed through the use of a general ledger</w:t>
      </w:r>
      <w:r w:rsidRPr="00995FEE">
        <w:rPr>
          <w:rFonts w:ascii="Times New Roman" w:hAnsi="Times New Roman" w:cs="Times New Roman"/>
          <w:sz w:val="20"/>
          <w:szCs w:val="20"/>
        </w:rPr>
        <w:t>.</w:t>
      </w:r>
    </w:p>
    <w:p w:rsidR="0090165C" w:rsidRDefault="0090165C" w:rsidP="0090165C">
      <w:pPr>
        <w:spacing w:after="0" w:line="240" w:lineRule="auto"/>
        <w:rPr>
          <w:rFonts w:ascii="Times New Roman" w:hAnsi="Times New Roman" w:cs="Times New Roman"/>
          <w:sz w:val="20"/>
          <w:szCs w:val="20"/>
        </w:rPr>
      </w:pPr>
    </w:p>
    <w:p w:rsidR="0090165C" w:rsidRDefault="00FB02C3"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job cost system should </w:t>
      </w:r>
      <w:r w:rsidR="00506374">
        <w:rPr>
          <w:rFonts w:ascii="Times New Roman" w:hAnsi="Times New Roman" w:cs="Times New Roman"/>
          <w:sz w:val="20"/>
          <w:szCs w:val="20"/>
        </w:rPr>
        <w:t>integrate</w:t>
      </w:r>
      <w:r>
        <w:rPr>
          <w:rFonts w:ascii="Times New Roman" w:hAnsi="Times New Roman" w:cs="Times New Roman"/>
          <w:sz w:val="20"/>
          <w:szCs w:val="20"/>
        </w:rPr>
        <w:t xml:space="preserve"> with or otherwise reconcile</w:t>
      </w:r>
      <w:r w:rsidR="00DD57C4">
        <w:rPr>
          <w:rFonts w:ascii="Times New Roman" w:hAnsi="Times New Roman" w:cs="Times New Roman"/>
          <w:sz w:val="20"/>
          <w:szCs w:val="20"/>
        </w:rPr>
        <w:t xml:space="preserve"> to the financial accounting control accounts (general ledger accounts)</w:t>
      </w:r>
      <w:r w:rsidR="006C25AD">
        <w:rPr>
          <w:rFonts w:ascii="Times New Roman" w:hAnsi="Times New Roman" w:cs="Times New Roman"/>
          <w:sz w:val="20"/>
          <w:szCs w:val="20"/>
        </w:rPr>
        <w:t xml:space="preserve">. </w:t>
      </w:r>
      <w:r w:rsidR="00DD57C4">
        <w:rPr>
          <w:rFonts w:ascii="Times New Roman" w:hAnsi="Times New Roman" w:cs="Times New Roman"/>
          <w:sz w:val="20"/>
          <w:szCs w:val="20"/>
        </w:rPr>
        <w:t xml:space="preserve">It should record all direct labor and other direct costs, whether billable or not, to projects on a consistent basis. </w:t>
      </w:r>
    </w:p>
    <w:p w:rsidR="0090165C" w:rsidRDefault="0090165C" w:rsidP="0090165C">
      <w:pPr>
        <w:spacing w:after="0" w:line="240" w:lineRule="auto"/>
        <w:rPr>
          <w:rFonts w:ascii="Times New Roman" w:hAnsi="Times New Roman" w:cs="Times New Roman"/>
          <w:sz w:val="20"/>
          <w:szCs w:val="20"/>
        </w:rPr>
      </w:pPr>
    </w:p>
    <w:p w:rsidR="0090165C" w:rsidRPr="00995FEE" w:rsidRDefault="00995FEE" w:rsidP="0090165C">
      <w:pPr>
        <w:spacing w:after="0" w:line="240" w:lineRule="auto"/>
        <w:rPr>
          <w:rFonts w:ascii="Times New Roman" w:hAnsi="Times New Roman" w:cs="Times New Roman"/>
          <w:b/>
          <w:sz w:val="20"/>
          <w:szCs w:val="20"/>
        </w:rPr>
      </w:pPr>
      <w:r w:rsidRPr="00995FEE">
        <w:rPr>
          <w:rFonts w:ascii="Times New Roman" w:hAnsi="Times New Roman" w:cs="Times New Roman"/>
          <w:b/>
          <w:sz w:val="20"/>
          <w:szCs w:val="20"/>
        </w:rPr>
        <w:t xml:space="preserve">4. </w:t>
      </w:r>
      <w:r w:rsidR="0090165C" w:rsidRPr="00995FEE">
        <w:rPr>
          <w:rFonts w:ascii="Times New Roman" w:hAnsi="Times New Roman" w:cs="Times New Roman"/>
          <w:b/>
          <w:sz w:val="20"/>
          <w:szCs w:val="20"/>
        </w:rPr>
        <w:t>A project cost estimation system that agrees with the job</w:t>
      </w:r>
      <w:r w:rsidR="000B1CF4" w:rsidRPr="00995FEE">
        <w:rPr>
          <w:rFonts w:ascii="Times New Roman" w:hAnsi="Times New Roman" w:cs="Times New Roman"/>
          <w:b/>
          <w:sz w:val="20"/>
          <w:szCs w:val="20"/>
        </w:rPr>
        <w:t>-</w:t>
      </w:r>
      <w:r w:rsidR="0090165C" w:rsidRPr="00995FEE">
        <w:rPr>
          <w:rFonts w:ascii="Times New Roman" w:hAnsi="Times New Roman" w:cs="Times New Roman"/>
          <w:b/>
          <w:sz w:val="20"/>
          <w:szCs w:val="20"/>
        </w:rPr>
        <w:t>cost system</w:t>
      </w:r>
      <w:r w:rsidRPr="00995FEE">
        <w:rPr>
          <w:rFonts w:ascii="Times New Roman" w:hAnsi="Times New Roman" w:cs="Times New Roman"/>
          <w:sz w:val="20"/>
          <w:szCs w:val="20"/>
        </w:rPr>
        <w:t>.</w:t>
      </w:r>
    </w:p>
    <w:p w:rsidR="0090165C" w:rsidRDefault="0090165C" w:rsidP="0090165C">
      <w:pPr>
        <w:spacing w:after="0" w:line="240" w:lineRule="auto"/>
        <w:rPr>
          <w:rFonts w:ascii="Times New Roman" w:hAnsi="Times New Roman" w:cs="Times New Roman"/>
          <w:sz w:val="20"/>
          <w:szCs w:val="20"/>
        </w:rPr>
      </w:pPr>
    </w:p>
    <w:p w:rsidR="0090165C" w:rsidRDefault="002512E9"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method that a consulting firm’s uses to prepare job estimates should be consistent with </w:t>
      </w:r>
      <w:r w:rsidR="00506374">
        <w:rPr>
          <w:rFonts w:ascii="Times New Roman" w:hAnsi="Times New Roman" w:cs="Times New Roman"/>
          <w:sz w:val="20"/>
          <w:szCs w:val="20"/>
        </w:rPr>
        <w:t>its job cost system</w:t>
      </w:r>
      <w:r w:rsidR="006C25AD">
        <w:rPr>
          <w:rFonts w:ascii="Times New Roman" w:hAnsi="Times New Roman" w:cs="Times New Roman"/>
          <w:sz w:val="20"/>
          <w:szCs w:val="20"/>
        </w:rPr>
        <w:t xml:space="preserve">. </w:t>
      </w:r>
      <w:r w:rsidR="00767FAE">
        <w:rPr>
          <w:rFonts w:ascii="Times New Roman" w:hAnsi="Times New Roman" w:cs="Times New Roman"/>
          <w:sz w:val="20"/>
          <w:szCs w:val="20"/>
        </w:rPr>
        <w:t xml:space="preserve">For example, a company that </w:t>
      </w:r>
      <w:r w:rsidR="00506374">
        <w:rPr>
          <w:rFonts w:ascii="Times New Roman" w:hAnsi="Times New Roman" w:cs="Times New Roman"/>
          <w:sz w:val="20"/>
          <w:szCs w:val="20"/>
        </w:rPr>
        <w:t xml:space="preserve">uses </w:t>
      </w:r>
      <w:r w:rsidR="00767FAE">
        <w:rPr>
          <w:rFonts w:ascii="Times New Roman" w:hAnsi="Times New Roman" w:cs="Times New Roman"/>
          <w:sz w:val="20"/>
          <w:szCs w:val="20"/>
        </w:rPr>
        <w:t>d</w:t>
      </w:r>
      <w:r w:rsidR="00506374">
        <w:rPr>
          <w:rFonts w:ascii="Times New Roman" w:hAnsi="Times New Roman" w:cs="Times New Roman"/>
          <w:sz w:val="20"/>
          <w:szCs w:val="20"/>
        </w:rPr>
        <w:t xml:space="preserve">irect </w:t>
      </w:r>
      <w:r w:rsidR="00767FAE">
        <w:rPr>
          <w:rFonts w:ascii="Times New Roman" w:hAnsi="Times New Roman" w:cs="Times New Roman"/>
          <w:sz w:val="20"/>
          <w:szCs w:val="20"/>
        </w:rPr>
        <w:t>l</w:t>
      </w:r>
      <w:r w:rsidR="00506374">
        <w:rPr>
          <w:rFonts w:ascii="Times New Roman" w:hAnsi="Times New Roman" w:cs="Times New Roman"/>
          <w:sz w:val="20"/>
          <w:szCs w:val="20"/>
        </w:rPr>
        <w:t xml:space="preserve">abor </w:t>
      </w:r>
      <w:r w:rsidR="00767FAE">
        <w:rPr>
          <w:rFonts w:ascii="Times New Roman" w:hAnsi="Times New Roman" w:cs="Times New Roman"/>
          <w:sz w:val="20"/>
          <w:szCs w:val="20"/>
        </w:rPr>
        <w:t xml:space="preserve">cost </w:t>
      </w:r>
      <w:r w:rsidR="00506374">
        <w:rPr>
          <w:rFonts w:ascii="Times New Roman" w:hAnsi="Times New Roman" w:cs="Times New Roman"/>
          <w:sz w:val="20"/>
          <w:szCs w:val="20"/>
        </w:rPr>
        <w:t>as a base</w:t>
      </w:r>
      <w:r w:rsidR="00767FAE">
        <w:rPr>
          <w:rFonts w:ascii="Times New Roman" w:hAnsi="Times New Roman" w:cs="Times New Roman"/>
          <w:sz w:val="20"/>
          <w:szCs w:val="20"/>
        </w:rPr>
        <w:t xml:space="preserve"> </w:t>
      </w:r>
      <w:r w:rsidR="00506374">
        <w:rPr>
          <w:rFonts w:ascii="Times New Roman" w:hAnsi="Times New Roman" w:cs="Times New Roman"/>
          <w:sz w:val="20"/>
          <w:szCs w:val="20"/>
        </w:rPr>
        <w:t xml:space="preserve">should prepare </w:t>
      </w:r>
      <w:r w:rsidR="00767FAE">
        <w:rPr>
          <w:rFonts w:ascii="Times New Roman" w:hAnsi="Times New Roman" w:cs="Times New Roman"/>
          <w:sz w:val="20"/>
          <w:szCs w:val="20"/>
        </w:rPr>
        <w:t>project cost estimates based on direct labor.</w:t>
      </w:r>
    </w:p>
    <w:p w:rsidR="0090165C" w:rsidRDefault="0090165C" w:rsidP="0090165C">
      <w:pPr>
        <w:spacing w:after="0" w:line="240" w:lineRule="auto"/>
        <w:rPr>
          <w:rFonts w:ascii="Times New Roman" w:hAnsi="Times New Roman" w:cs="Times New Roman"/>
          <w:sz w:val="20"/>
          <w:szCs w:val="20"/>
        </w:rPr>
      </w:pPr>
    </w:p>
    <w:p w:rsidR="0090165C" w:rsidRPr="00936703" w:rsidRDefault="00995FEE" w:rsidP="000A0EF1">
      <w:pPr>
        <w:spacing w:after="0" w:line="240" w:lineRule="auto"/>
        <w:ind w:left="216" w:hanging="216"/>
        <w:rPr>
          <w:rFonts w:ascii="Times New Roman" w:hAnsi="Times New Roman" w:cs="Times New Roman"/>
          <w:b/>
          <w:sz w:val="20"/>
          <w:szCs w:val="20"/>
        </w:rPr>
      </w:pPr>
      <w:r w:rsidRPr="00936703">
        <w:rPr>
          <w:rFonts w:ascii="Times New Roman" w:hAnsi="Times New Roman" w:cs="Times New Roman"/>
          <w:b/>
          <w:sz w:val="20"/>
          <w:szCs w:val="20"/>
        </w:rPr>
        <w:t xml:space="preserve">5. </w:t>
      </w:r>
      <w:r w:rsidR="00936703" w:rsidRPr="00936703">
        <w:rPr>
          <w:rFonts w:ascii="Times New Roman" w:hAnsi="Times New Roman" w:cs="Times New Roman"/>
          <w:b/>
          <w:bCs/>
          <w:sz w:val="20"/>
          <w:szCs w:val="20"/>
        </w:rPr>
        <w:t>Training for accounting personnel and key management on FAR Part 31</w:t>
      </w:r>
      <w:r w:rsidRPr="00936703">
        <w:rPr>
          <w:rFonts w:ascii="Times New Roman" w:hAnsi="Times New Roman" w:cs="Times New Roman"/>
          <w:sz w:val="20"/>
          <w:szCs w:val="20"/>
        </w:rPr>
        <w:t>.</w:t>
      </w:r>
    </w:p>
    <w:p w:rsidR="0090165C" w:rsidRDefault="0090165C" w:rsidP="0090165C">
      <w:pPr>
        <w:spacing w:after="0" w:line="240" w:lineRule="auto"/>
        <w:rPr>
          <w:rFonts w:ascii="Times New Roman" w:hAnsi="Times New Roman" w:cs="Times New Roman"/>
          <w:sz w:val="20"/>
          <w:szCs w:val="20"/>
        </w:rPr>
      </w:pPr>
    </w:p>
    <w:p w:rsidR="0090165C" w:rsidRDefault="008B1558"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Training of accounting personnel and key management on </w:t>
      </w:r>
      <w:r w:rsidR="000B1CF4">
        <w:rPr>
          <w:rFonts w:ascii="Times New Roman" w:hAnsi="Times New Roman" w:cs="Times New Roman"/>
          <w:sz w:val="20"/>
          <w:szCs w:val="20"/>
        </w:rPr>
        <w:t xml:space="preserve">FAR </w:t>
      </w:r>
      <w:r w:rsidRPr="008B1558">
        <w:rPr>
          <w:rFonts w:ascii="Times New Roman" w:hAnsi="Times New Roman" w:cs="Times New Roman"/>
          <w:sz w:val="20"/>
          <w:szCs w:val="20"/>
        </w:rPr>
        <w:t xml:space="preserve">Part 31 </w:t>
      </w:r>
      <w:r w:rsidR="00764747">
        <w:rPr>
          <w:rFonts w:ascii="Times New Roman" w:hAnsi="Times New Roman" w:cs="Times New Roman"/>
          <w:sz w:val="20"/>
          <w:szCs w:val="20"/>
        </w:rPr>
        <w:t>is important to ensure</w:t>
      </w:r>
      <w:r w:rsidR="000B1CF4">
        <w:rPr>
          <w:rFonts w:ascii="Times New Roman" w:hAnsi="Times New Roman" w:cs="Times New Roman"/>
          <w:sz w:val="20"/>
          <w:szCs w:val="20"/>
        </w:rPr>
        <w:t xml:space="preserve"> compliance with Federal Cost Principles. </w:t>
      </w:r>
      <w:r w:rsidR="00764747">
        <w:rPr>
          <w:rFonts w:ascii="Times New Roman" w:hAnsi="Times New Roman" w:cs="Times New Roman"/>
          <w:sz w:val="20"/>
          <w:szCs w:val="20"/>
        </w:rPr>
        <w:t>This training will</w:t>
      </w:r>
      <w:r>
        <w:rPr>
          <w:rFonts w:ascii="Times New Roman" w:hAnsi="Times New Roman" w:cs="Times New Roman"/>
          <w:sz w:val="20"/>
          <w:szCs w:val="20"/>
        </w:rPr>
        <w:t>:</w:t>
      </w:r>
    </w:p>
    <w:p w:rsidR="008B1558" w:rsidRDefault="008B1558" w:rsidP="0090165C">
      <w:pPr>
        <w:spacing w:after="0" w:line="240" w:lineRule="auto"/>
        <w:rPr>
          <w:rFonts w:ascii="Times New Roman" w:hAnsi="Times New Roman" w:cs="Times New Roman"/>
          <w:sz w:val="20"/>
          <w:szCs w:val="20"/>
        </w:rPr>
      </w:pPr>
    </w:p>
    <w:p w:rsidR="00695641" w:rsidRPr="006C25AD" w:rsidRDefault="008B1558"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Promote a uniform interpretation and consistent application of FAR</w:t>
      </w:r>
      <w:r w:rsidR="00BF59F5" w:rsidRPr="006C25AD">
        <w:rPr>
          <w:rFonts w:ascii="Times New Roman" w:hAnsi="Times New Roman" w:cs="Times New Roman"/>
          <w:bCs/>
          <w:sz w:val="20"/>
          <w:szCs w:val="20"/>
        </w:rPr>
        <w:t xml:space="preserve"> Part 31</w:t>
      </w:r>
      <w:r w:rsidRPr="006C25AD">
        <w:rPr>
          <w:rFonts w:ascii="Times New Roman" w:hAnsi="Times New Roman" w:cs="Times New Roman"/>
          <w:bCs/>
          <w:sz w:val="20"/>
          <w:szCs w:val="20"/>
        </w:rPr>
        <w:t xml:space="preserve"> in A/E contracting</w:t>
      </w:r>
      <w:r w:rsidR="006C25AD">
        <w:rPr>
          <w:rFonts w:ascii="Times New Roman" w:hAnsi="Times New Roman" w:cs="Times New Roman"/>
          <w:bCs/>
          <w:sz w:val="20"/>
          <w:szCs w:val="20"/>
        </w:rPr>
        <w:t xml:space="preserve">. </w:t>
      </w:r>
      <w:r w:rsidR="00764747" w:rsidRPr="006C25AD">
        <w:rPr>
          <w:rFonts w:ascii="Times New Roman" w:hAnsi="Times New Roman" w:cs="Times New Roman"/>
          <w:bCs/>
          <w:sz w:val="20"/>
          <w:szCs w:val="20"/>
        </w:rPr>
        <w:t>(</w:t>
      </w:r>
      <w:r w:rsidR="00BF59F5" w:rsidRPr="006C25AD">
        <w:rPr>
          <w:rFonts w:ascii="Times New Roman" w:hAnsi="Times New Roman" w:cs="Times New Roman"/>
          <w:bCs/>
          <w:sz w:val="20"/>
          <w:szCs w:val="20"/>
        </w:rPr>
        <w:t>For example,</w:t>
      </w:r>
      <w:r w:rsidR="00491C9A" w:rsidRPr="006C25AD">
        <w:rPr>
          <w:rFonts w:ascii="Times New Roman" w:hAnsi="Times New Roman" w:cs="Times New Roman"/>
          <w:bCs/>
          <w:sz w:val="20"/>
          <w:szCs w:val="20"/>
        </w:rPr>
        <w:t xml:space="preserve"> </w:t>
      </w:r>
      <w:r w:rsidR="00BF59F5" w:rsidRPr="006C25AD">
        <w:rPr>
          <w:rFonts w:ascii="Times New Roman" w:hAnsi="Times New Roman" w:cs="Times New Roman"/>
          <w:bCs/>
          <w:sz w:val="20"/>
          <w:szCs w:val="20"/>
        </w:rPr>
        <w:t>c</w:t>
      </w:r>
      <w:r w:rsidR="00491C9A" w:rsidRPr="006C25AD">
        <w:rPr>
          <w:rFonts w:ascii="Times New Roman" w:hAnsi="Times New Roman" w:cs="Times New Roman"/>
          <w:bCs/>
          <w:sz w:val="20"/>
          <w:szCs w:val="20"/>
        </w:rPr>
        <w:t>osts are consistently classified as either indirect costs or direct</w:t>
      </w:r>
      <w:r w:rsidR="00695641" w:rsidRPr="006C25AD">
        <w:rPr>
          <w:rFonts w:ascii="Times New Roman" w:hAnsi="Times New Roman" w:cs="Times New Roman"/>
          <w:bCs/>
          <w:sz w:val="20"/>
          <w:szCs w:val="20"/>
        </w:rPr>
        <w:t xml:space="preserve"> </w:t>
      </w:r>
      <w:r w:rsidR="00491C9A" w:rsidRPr="006C25AD">
        <w:rPr>
          <w:rFonts w:ascii="Times New Roman" w:hAnsi="Times New Roman" w:cs="Times New Roman"/>
          <w:bCs/>
          <w:sz w:val="20"/>
          <w:szCs w:val="20"/>
        </w:rPr>
        <w:t>costs</w:t>
      </w:r>
      <w:r w:rsidR="00695641" w:rsidRPr="006C25AD">
        <w:rPr>
          <w:rFonts w:ascii="Times New Roman" w:hAnsi="Times New Roman" w:cs="Times New Roman"/>
          <w:bCs/>
          <w:sz w:val="20"/>
          <w:szCs w:val="20"/>
        </w:rPr>
        <w:t>,</w:t>
      </w:r>
      <w:r w:rsidR="00BF59F5" w:rsidRPr="006C25AD">
        <w:rPr>
          <w:rFonts w:ascii="Times New Roman" w:hAnsi="Times New Roman" w:cs="Times New Roman"/>
          <w:bCs/>
          <w:sz w:val="20"/>
          <w:szCs w:val="20"/>
        </w:rPr>
        <w:t xml:space="preserve"> and</w:t>
      </w:r>
      <w:r w:rsidR="00695641" w:rsidRPr="006C25AD">
        <w:rPr>
          <w:rFonts w:ascii="Times New Roman" w:hAnsi="Times New Roman" w:cs="Times New Roman"/>
          <w:bCs/>
          <w:sz w:val="20"/>
          <w:szCs w:val="20"/>
        </w:rPr>
        <w:t xml:space="preserve"> costs are correctly classified as either allowable or unallowable.</w:t>
      </w:r>
      <w:r w:rsidR="00764747" w:rsidRPr="006C25AD">
        <w:rPr>
          <w:rFonts w:ascii="Times New Roman" w:hAnsi="Times New Roman" w:cs="Times New Roman"/>
          <w:bCs/>
          <w:sz w:val="20"/>
          <w:szCs w:val="20"/>
        </w:rPr>
        <w:t>)</w:t>
      </w:r>
    </w:p>
    <w:p w:rsidR="00695641" w:rsidRPr="006C25AD" w:rsidRDefault="008B1558"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bCs/>
          <w:sz w:val="20"/>
          <w:szCs w:val="20"/>
        </w:rPr>
      </w:pPr>
      <w:r w:rsidRPr="006C25AD">
        <w:rPr>
          <w:rFonts w:ascii="Times New Roman" w:hAnsi="Times New Roman" w:cs="Times New Roman"/>
          <w:bCs/>
          <w:sz w:val="20"/>
          <w:szCs w:val="20"/>
        </w:rPr>
        <w:t xml:space="preserve">Increase compliance with </w:t>
      </w:r>
      <w:r w:rsidR="00491C9A" w:rsidRPr="006C25AD">
        <w:rPr>
          <w:rFonts w:ascii="Times New Roman" w:hAnsi="Times New Roman" w:cs="Times New Roman"/>
          <w:bCs/>
          <w:sz w:val="20"/>
          <w:szCs w:val="20"/>
        </w:rPr>
        <w:t xml:space="preserve">the </w:t>
      </w:r>
      <w:r w:rsidR="00BF59F5" w:rsidRPr="006C25AD">
        <w:rPr>
          <w:rFonts w:ascii="Times New Roman" w:hAnsi="Times New Roman" w:cs="Times New Roman"/>
          <w:bCs/>
          <w:sz w:val="20"/>
          <w:szCs w:val="20"/>
        </w:rPr>
        <w:t>F</w:t>
      </w:r>
      <w:r w:rsidRPr="006C25AD">
        <w:rPr>
          <w:rFonts w:ascii="Times New Roman" w:hAnsi="Times New Roman" w:cs="Times New Roman"/>
          <w:bCs/>
          <w:sz w:val="20"/>
          <w:szCs w:val="20"/>
        </w:rPr>
        <w:t>ederal rules and regulations</w:t>
      </w:r>
      <w:r w:rsidR="00491C9A" w:rsidRPr="006C25AD">
        <w:rPr>
          <w:rFonts w:ascii="Times New Roman" w:hAnsi="Times New Roman" w:cs="Times New Roman"/>
          <w:bCs/>
          <w:sz w:val="20"/>
          <w:szCs w:val="20"/>
        </w:rPr>
        <w:t xml:space="preserve"> that govern A/E contracts</w:t>
      </w:r>
      <w:r w:rsidR="00BF59F5" w:rsidRPr="006C25AD">
        <w:rPr>
          <w:rFonts w:ascii="Times New Roman" w:hAnsi="Times New Roman" w:cs="Times New Roman"/>
          <w:bCs/>
          <w:sz w:val="20"/>
          <w:szCs w:val="20"/>
        </w:rPr>
        <w:t>.</w:t>
      </w:r>
    </w:p>
    <w:p w:rsidR="00491C9A" w:rsidRPr="00695641" w:rsidRDefault="00BF59F5" w:rsidP="00BF59F5">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Promote clarity in communications between management and the auditor; thereby improving</w:t>
      </w:r>
      <w:r w:rsidRPr="00695641">
        <w:rPr>
          <w:rFonts w:ascii="Times New Roman" w:hAnsi="Times New Roman" w:cs="Times New Roman"/>
          <w:sz w:val="20"/>
          <w:szCs w:val="20"/>
        </w:rPr>
        <w:t xml:space="preserve"> </w:t>
      </w:r>
      <w:r w:rsidR="00491C9A" w:rsidRPr="00695641">
        <w:rPr>
          <w:rFonts w:ascii="Times New Roman" w:hAnsi="Times New Roman" w:cs="Times New Roman"/>
          <w:sz w:val="20"/>
          <w:szCs w:val="20"/>
        </w:rPr>
        <w:t>the quality of overhead c</w:t>
      </w:r>
      <w:r w:rsidR="00CB52A3">
        <w:rPr>
          <w:rFonts w:ascii="Times New Roman" w:hAnsi="Times New Roman" w:cs="Times New Roman"/>
          <w:sz w:val="20"/>
          <w:szCs w:val="20"/>
        </w:rPr>
        <w:t>o</w:t>
      </w:r>
      <w:r w:rsidR="00491C9A" w:rsidRPr="00695641">
        <w:rPr>
          <w:rFonts w:ascii="Times New Roman" w:hAnsi="Times New Roman" w:cs="Times New Roman"/>
          <w:sz w:val="20"/>
          <w:szCs w:val="20"/>
        </w:rPr>
        <w:t>st rate audits</w:t>
      </w:r>
      <w:r>
        <w:rPr>
          <w:rFonts w:ascii="Times New Roman" w:hAnsi="Times New Roman" w:cs="Times New Roman"/>
          <w:sz w:val="20"/>
          <w:szCs w:val="20"/>
        </w:rPr>
        <w:t>.</w:t>
      </w:r>
    </w:p>
    <w:p w:rsidR="008B1558" w:rsidRDefault="008B1558" w:rsidP="0090165C">
      <w:pPr>
        <w:spacing w:after="0" w:line="240" w:lineRule="auto"/>
        <w:rPr>
          <w:rFonts w:ascii="Times New Roman" w:hAnsi="Times New Roman" w:cs="Times New Roman"/>
          <w:sz w:val="20"/>
          <w:szCs w:val="20"/>
        </w:rPr>
      </w:pPr>
    </w:p>
    <w:p w:rsidR="00695641" w:rsidRPr="00257F4D" w:rsidRDefault="006C25AD" w:rsidP="0090165C">
      <w:pPr>
        <w:spacing w:after="0" w:line="240" w:lineRule="auto"/>
        <w:rPr>
          <w:rFonts w:ascii="Times New Roman" w:hAnsi="Times New Roman" w:cs="Times New Roman"/>
          <w:i/>
          <w:sz w:val="20"/>
          <w:szCs w:val="20"/>
        </w:rPr>
      </w:pPr>
      <w:r w:rsidRPr="00257F4D">
        <w:rPr>
          <w:rFonts w:ascii="Times New Roman" w:hAnsi="Times New Roman" w:cs="Times New Roman"/>
          <w:i/>
          <w:sz w:val="20"/>
          <w:szCs w:val="20"/>
          <w:u w:val="single"/>
        </w:rPr>
        <w:t>Note</w:t>
      </w:r>
      <w:r w:rsidRPr="00257F4D">
        <w:rPr>
          <w:rFonts w:ascii="Times New Roman" w:hAnsi="Times New Roman" w:cs="Times New Roman"/>
          <w:i/>
          <w:sz w:val="20"/>
          <w:szCs w:val="20"/>
        </w:rPr>
        <w:t xml:space="preserve">: </w:t>
      </w:r>
      <w:r w:rsidR="00695641" w:rsidRPr="00257F4D">
        <w:rPr>
          <w:rFonts w:ascii="Times New Roman" w:hAnsi="Times New Roman" w:cs="Times New Roman"/>
          <w:i/>
          <w:sz w:val="20"/>
          <w:szCs w:val="20"/>
        </w:rPr>
        <w:t xml:space="preserve">Because an indirect cost rate </w:t>
      </w:r>
      <w:r w:rsidR="00235614" w:rsidRPr="00257F4D">
        <w:rPr>
          <w:rFonts w:ascii="Times New Roman" w:hAnsi="Times New Roman" w:cs="Times New Roman"/>
          <w:i/>
          <w:sz w:val="20"/>
          <w:szCs w:val="20"/>
        </w:rPr>
        <w:t>uses</w:t>
      </w:r>
      <w:r w:rsidR="00695641" w:rsidRPr="00257F4D">
        <w:rPr>
          <w:rFonts w:ascii="Times New Roman" w:hAnsi="Times New Roman" w:cs="Times New Roman"/>
          <w:i/>
          <w:sz w:val="20"/>
          <w:szCs w:val="20"/>
        </w:rPr>
        <w:t xml:space="preserve"> </w:t>
      </w:r>
      <w:r w:rsidR="00CB52A3" w:rsidRPr="00257F4D">
        <w:rPr>
          <w:rFonts w:ascii="Times New Roman" w:hAnsi="Times New Roman" w:cs="Times New Roman"/>
          <w:i/>
          <w:sz w:val="20"/>
          <w:szCs w:val="20"/>
        </w:rPr>
        <w:t xml:space="preserve">direct </w:t>
      </w:r>
      <w:r w:rsidR="00695641" w:rsidRPr="00257F4D">
        <w:rPr>
          <w:rFonts w:ascii="Times New Roman" w:hAnsi="Times New Roman" w:cs="Times New Roman"/>
          <w:i/>
          <w:sz w:val="20"/>
          <w:szCs w:val="20"/>
        </w:rPr>
        <w:t>labor</w:t>
      </w:r>
      <w:r w:rsidR="00235614" w:rsidRPr="00257F4D">
        <w:rPr>
          <w:rFonts w:ascii="Times New Roman" w:hAnsi="Times New Roman" w:cs="Times New Roman"/>
          <w:i/>
          <w:sz w:val="20"/>
          <w:szCs w:val="20"/>
        </w:rPr>
        <w:t xml:space="preserve"> cost as the primary allocation base</w:t>
      </w:r>
      <w:r w:rsidR="00695641" w:rsidRPr="00257F4D">
        <w:rPr>
          <w:rFonts w:ascii="Times New Roman" w:hAnsi="Times New Roman" w:cs="Times New Roman"/>
          <w:i/>
          <w:sz w:val="20"/>
          <w:szCs w:val="20"/>
        </w:rPr>
        <w:t>, all employees should be instructed to prepare timesheets on a total</w:t>
      </w:r>
      <w:r w:rsidR="00235614" w:rsidRPr="00257F4D">
        <w:rPr>
          <w:rFonts w:ascii="Times New Roman" w:hAnsi="Times New Roman" w:cs="Times New Roman"/>
          <w:i/>
          <w:sz w:val="20"/>
          <w:szCs w:val="20"/>
        </w:rPr>
        <w:t xml:space="preserve">-hour </w:t>
      </w:r>
      <w:r w:rsidR="00695641" w:rsidRPr="00257F4D">
        <w:rPr>
          <w:rFonts w:ascii="Times New Roman" w:hAnsi="Times New Roman" w:cs="Times New Roman"/>
          <w:i/>
          <w:sz w:val="20"/>
          <w:szCs w:val="20"/>
        </w:rPr>
        <w:t xml:space="preserve">basis. </w:t>
      </w:r>
      <w:r w:rsidR="00235614" w:rsidRPr="00257F4D">
        <w:rPr>
          <w:rFonts w:ascii="Times New Roman" w:hAnsi="Times New Roman" w:cs="Times New Roman"/>
          <w:i/>
          <w:sz w:val="20"/>
          <w:szCs w:val="20"/>
        </w:rPr>
        <w:t xml:space="preserve">This requires all worked hours to be recorded, regardless of whether the employees are paid for all the hours. Additionally, employees </w:t>
      </w:r>
      <w:r w:rsidR="00695641" w:rsidRPr="00257F4D">
        <w:rPr>
          <w:rFonts w:ascii="Times New Roman" w:hAnsi="Times New Roman" w:cs="Times New Roman"/>
          <w:i/>
          <w:sz w:val="20"/>
          <w:szCs w:val="20"/>
        </w:rPr>
        <w:t xml:space="preserve">should </w:t>
      </w:r>
      <w:r w:rsidR="00235614" w:rsidRPr="00257F4D">
        <w:rPr>
          <w:rFonts w:ascii="Times New Roman" w:hAnsi="Times New Roman" w:cs="Times New Roman"/>
          <w:i/>
          <w:sz w:val="20"/>
          <w:szCs w:val="20"/>
        </w:rPr>
        <w:t xml:space="preserve">be trained regarding the generally allowable types of costs and what </w:t>
      </w:r>
      <w:r w:rsidR="00695641" w:rsidRPr="00257F4D">
        <w:rPr>
          <w:rFonts w:ascii="Times New Roman" w:hAnsi="Times New Roman" w:cs="Times New Roman"/>
          <w:i/>
          <w:sz w:val="20"/>
          <w:szCs w:val="20"/>
        </w:rPr>
        <w:t xml:space="preserve">documentation </w:t>
      </w:r>
      <w:r w:rsidR="00235614" w:rsidRPr="00257F4D">
        <w:rPr>
          <w:rFonts w:ascii="Times New Roman" w:hAnsi="Times New Roman" w:cs="Times New Roman"/>
          <w:i/>
          <w:sz w:val="20"/>
          <w:szCs w:val="20"/>
        </w:rPr>
        <w:t>must be maintained to establish the allowability of costs</w:t>
      </w:r>
      <w:r w:rsidR="00695641" w:rsidRPr="00257F4D">
        <w:rPr>
          <w:rFonts w:ascii="Times New Roman" w:hAnsi="Times New Roman" w:cs="Times New Roman"/>
          <w:i/>
          <w:sz w:val="20"/>
          <w:szCs w:val="20"/>
        </w:rPr>
        <w:t xml:space="preserve">. </w:t>
      </w:r>
    </w:p>
    <w:p w:rsidR="0090165C" w:rsidRDefault="0090165C" w:rsidP="0090165C">
      <w:pPr>
        <w:spacing w:after="0" w:line="240" w:lineRule="auto"/>
        <w:rPr>
          <w:rFonts w:ascii="Times New Roman" w:hAnsi="Times New Roman" w:cs="Times New Roman"/>
          <w:sz w:val="20"/>
          <w:szCs w:val="20"/>
        </w:rPr>
      </w:pPr>
    </w:p>
    <w:p w:rsidR="00257F4D" w:rsidRDefault="00257F4D">
      <w:pPr>
        <w:rPr>
          <w:rFonts w:ascii="Times New Roman" w:hAnsi="Times New Roman" w:cs="Times New Roman"/>
          <w:b/>
          <w:sz w:val="20"/>
          <w:szCs w:val="20"/>
        </w:rPr>
      </w:pPr>
    </w:p>
    <w:p w:rsidR="00257F4D" w:rsidRDefault="00257F4D">
      <w:pPr>
        <w:rPr>
          <w:rFonts w:ascii="Times New Roman" w:hAnsi="Times New Roman" w:cs="Times New Roman"/>
          <w:b/>
          <w:sz w:val="20"/>
          <w:szCs w:val="20"/>
        </w:rPr>
      </w:pPr>
      <w:r>
        <w:rPr>
          <w:rFonts w:ascii="Times New Roman" w:hAnsi="Times New Roman" w:cs="Times New Roman"/>
          <w:b/>
          <w:sz w:val="20"/>
          <w:szCs w:val="20"/>
        </w:rPr>
        <w:br w:type="page"/>
      </w:r>
    </w:p>
    <w:p w:rsidR="0090165C" w:rsidRPr="00995FEE" w:rsidRDefault="00995FEE" w:rsidP="0090165C">
      <w:pPr>
        <w:spacing w:after="0" w:line="240" w:lineRule="auto"/>
        <w:rPr>
          <w:rFonts w:ascii="Times New Roman" w:hAnsi="Times New Roman" w:cs="Times New Roman"/>
          <w:b/>
          <w:sz w:val="20"/>
          <w:szCs w:val="20"/>
        </w:rPr>
      </w:pPr>
      <w:r w:rsidRPr="00995FEE">
        <w:rPr>
          <w:rFonts w:ascii="Times New Roman" w:hAnsi="Times New Roman" w:cs="Times New Roman"/>
          <w:b/>
          <w:sz w:val="20"/>
          <w:szCs w:val="20"/>
        </w:rPr>
        <w:lastRenderedPageBreak/>
        <w:t xml:space="preserve">6. </w:t>
      </w:r>
      <w:r w:rsidR="000A0EF1" w:rsidRPr="000A0EF1">
        <w:rPr>
          <w:rFonts w:ascii="Times New Roman" w:hAnsi="Times New Roman" w:cs="Times New Roman"/>
          <w:b/>
          <w:sz w:val="20"/>
          <w:szCs w:val="20"/>
        </w:rPr>
        <w:t>A</w:t>
      </w:r>
      <w:r w:rsidR="000A0EF1">
        <w:rPr>
          <w:rFonts w:ascii="Times New Roman" w:hAnsi="Times New Roman" w:cs="Times New Roman"/>
          <w:b/>
          <w:sz w:val="20"/>
          <w:szCs w:val="20"/>
        </w:rPr>
        <w:t>n</w:t>
      </w:r>
      <w:r w:rsidR="000A0EF1" w:rsidRPr="000A0EF1">
        <w:rPr>
          <w:rFonts w:ascii="Times New Roman" w:hAnsi="Times New Roman" w:cs="Times New Roman"/>
          <w:b/>
          <w:sz w:val="20"/>
          <w:szCs w:val="20"/>
        </w:rPr>
        <w:t xml:space="preserve"> </w:t>
      </w:r>
      <w:r w:rsidR="000A0EF1">
        <w:rPr>
          <w:rFonts w:ascii="Times New Roman" w:hAnsi="Times New Roman" w:cs="Times New Roman"/>
          <w:b/>
          <w:sz w:val="20"/>
          <w:szCs w:val="20"/>
        </w:rPr>
        <w:t xml:space="preserve">adequate </w:t>
      </w:r>
      <w:r w:rsidR="000A0EF1" w:rsidRPr="000A0EF1">
        <w:rPr>
          <w:rFonts w:ascii="Times New Roman" w:hAnsi="Times New Roman" w:cs="Times New Roman"/>
          <w:b/>
          <w:sz w:val="20"/>
          <w:szCs w:val="20"/>
        </w:rPr>
        <w:t>internal control policy, including a policy and procedures manual</w:t>
      </w:r>
      <w:r w:rsidR="00892653" w:rsidRPr="00892653">
        <w:rPr>
          <w:rFonts w:ascii="Times New Roman" w:hAnsi="Times New Roman" w:cs="Times New Roman"/>
          <w:b/>
          <w:sz w:val="20"/>
          <w:szCs w:val="20"/>
        </w:rPr>
        <w:t>, and consistent implementation of such policies and procedures</w:t>
      </w:r>
      <w:r w:rsidRPr="00892653">
        <w:rPr>
          <w:rFonts w:ascii="Times New Roman" w:hAnsi="Times New Roman" w:cs="Times New Roman"/>
          <w:b/>
          <w:sz w:val="20"/>
          <w:szCs w:val="20"/>
        </w:rPr>
        <w:t>.</w:t>
      </w:r>
    </w:p>
    <w:p w:rsidR="00422C48" w:rsidRDefault="00422C48" w:rsidP="00EA14AB">
      <w:pPr>
        <w:spacing w:after="0" w:line="240" w:lineRule="auto"/>
        <w:rPr>
          <w:rFonts w:ascii="Times New Roman" w:hAnsi="Times New Roman" w:cs="Times New Roman"/>
          <w:sz w:val="20"/>
          <w:szCs w:val="20"/>
        </w:rPr>
      </w:pPr>
    </w:p>
    <w:p w:rsidR="00BF0B38" w:rsidRDefault="0090165C"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Internal </w:t>
      </w:r>
      <w:r w:rsidR="000A0EF1">
        <w:rPr>
          <w:rFonts w:ascii="Times New Roman" w:hAnsi="Times New Roman" w:cs="Times New Roman"/>
          <w:sz w:val="20"/>
          <w:szCs w:val="20"/>
        </w:rPr>
        <w:t>c</w:t>
      </w:r>
      <w:r>
        <w:rPr>
          <w:rFonts w:ascii="Times New Roman" w:hAnsi="Times New Roman" w:cs="Times New Roman"/>
          <w:sz w:val="20"/>
          <w:szCs w:val="20"/>
        </w:rPr>
        <w:t xml:space="preserve">ontrols include the plans of the organization and the methods and procedures adopted by management </w:t>
      </w:r>
      <w:r w:rsidR="00032693">
        <w:rPr>
          <w:rFonts w:ascii="Times New Roman" w:hAnsi="Times New Roman" w:cs="Times New Roman"/>
          <w:sz w:val="20"/>
          <w:szCs w:val="20"/>
        </w:rPr>
        <w:t>to ensure that the firm’s goals and objectives are met; that resources are used consistent with laws, regulations and policies; that resources are safeguarded against waste, loss, and misuse; and that reliable data are obtained, mai</w:t>
      </w:r>
      <w:r w:rsidR="00892653">
        <w:rPr>
          <w:rFonts w:ascii="Times New Roman" w:hAnsi="Times New Roman" w:cs="Times New Roman"/>
          <w:sz w:val="20"/>
          <w:szCs w:val="20"/>
        </w:rPr>
        <w:t>ntained, and fairly disclosed in</w:t>
      </w:r>
      <w:r w:rsidR="00032693">
        <w:rPr>
          <w:rFonts w:ascii="Times New Roman" w:hAnsi="Times New Roman" w:cs="Times New Roman"/>
          <w:sz w:val="20"/>
          <w:szCs w:val="20"/>
        </w:rPr>
        <w:t xml:space="preserve"> reports</w:t>
      </w:r>
      <w:r w:rsidR="006C25AD">
        <w:rPr>
          <w:rFonts w:ascii="Times New Roman" w:hAnsi="Times New Roman" w:cs="Times New Roman"/>
          <w:sz w:val="20"/>
          <w:szCs w:val="20"/>
        </w:rPr>
        <w:t xml:space="preserve">. </w:t>
      </w:r>
      <w:r w:rsidR="00892653">
        <w:rPr>
          <w:rFonts w:ascii="Times New Roman" w:hAnsi="Times New Roman" w:cs="Times New Roman"/>
          <w:sz w:val="20"/>
          <w:szCs w:val="20"/>
        </w:rPr>
        <w:t>These policies and procedures must be applied consistently and must apply to all employees, owners, and managers.</w:t>
      </w:r>
    </w:p>
    <w:p w:rsidR="00BF0B38" w:rsidRDefault="00BF0B38" w:rsidP="000A0EF1">
      <w:pPr>
        <w:spacing w:after="0" w:line="240" w:lineRule="auto"/>
        <w:rPr>
          <w:rFonts w:ascii="Times New Roman" w:hAnsi="Times New Roman" w:cs="Times New Roman"/>
          <w:sz w:val="20"/>
          <w:szCs w:val="20"/>
        </w:rPr>
      </w:pPr>
    </w:p>
    <w:p w:rsidR="00790395" w:rsidRDefault="00790395" w:rsidP="000A0EF1">
      <w:pPr>
        <w:spacing w:after="0" w:line="240" w:lineRule="auto"/>
        <w:rPr>
          <w:rFonts w:ascii="Times New Roman" w:hAnsi="Times New Roman" w:cs="Times New Roman"/>
          <w:sz w:val="20"/>
          <w:szCs w:val="20"/>
        </w:rPr>
      </w:pPr>
      <w:r w:rsidRPr="00767FAE">
        <w:rPr>
          <w:rFonts w:ascii="Times New Roman" w:hAnsi="Times New Roman" w:cs="Times New Roman"/>
          <w:sz w:val="20"/>
          <w:szCs w:val="20"/>
          <w:u w:val="single"/>
        </w:rPr>
        <w:t>Guidance</w:t>
      </w:r>
      <w:r w:rsidRPr="00767FAE">
        <w:rPr>
          <w:rFonts w:ascii="Times New Roman" w:hAnsi="Times New Roman" w:cs="Times New Roman"/>
          <w:sz w:val="20"/>
          <w:szCs w:val="20"/>
        </w:rPr>
        <w:t>:</w:t>
      </w:r>
    </w:p>
    <w:p w:rsidR="00C56874" w:rsidRDefault="00C56874" w:rsidP="000A0EF1">
      <w:pPr>
        <w:spacing w:after="0" w:line="240" w:lineRule="auto"/>
        <w:rPr>
          <w:rFonts w:ascii="Times New Roman" w:hAnsi="Times New Roman" w:cs="Times New Roman"/>
          <w:sz w:val="20"/>
          <w:szCs w:val="20"/>
        </w:rPr>
      </w:pPr>
    </w:p>
    <w:p w:rsidR="00790395" w:rsidRPr="00790395" w:rsidRDefault="00790C91"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0"/>
          <w:szCs w:val="20"/>
        </w:rPr>
      </w:pPr>
      <w:r w:rsidRPr="00790395">
        <w:rPr>
          <w:rFonts w:ascii="Times New Roman" w:hAnsi="Times New Roman" w:cs="Times New Roman"/>
          <w:bCs/>
          <w:sz w:val="20"/>
          <w:szCs w:val="20"/>
        </w:rPr>
        <w:t xml:space="preserve">Chapter 6.4 of </w:t>
      </w:r>
      <w:r w:rsidR="000A0EF1">
        <w:rPr>
          <w:rFonts w:ascii="Times New Roman" w:hAnsi="Times New Roman" w:cs="Times New Roman"/>
          <w:bCs/>
          <w:sz w:val="20"/>
          <w:szCs w:val="20"/>
        </w:rPr>
        <w:t>t</w:t>
      </w:r>
      <w:r w:rsidRPr="00790395">
        <w:rPr>
          <w:rFonts w:ascii="Times New Roman" w:hAnsi="Times New Roman" w:cs="Times New Roman"/>
          <w:bCs/>
          <w:sz w:val="20"/>
          <w:szCs w:val="20"/>
        </w:rPr>
        <w:t xml:space="preserve">he AASHTO Audit Guide provides guidance on the </w:t>
      </w:r>
      <w:r w:rsidR="00695641" w:rsidRPr="00790395">
        <w:rPr>
          <w:rFonts w:ascii="Times New Roman" w:hAnsi="Times New Roman" w:cs="Times New Roman"/>
          <w:bCs/>
          <w:sz w:val="20"/>
          <w:szCs w:val="20"/>
        </w:rPr>
        <w:t>development of</w:t>
      </w:r>
      <w:r w:rsidRPr="00790395">
        <w:rPr>
          <w:rFonts w:ascii="Times New Roman" w:hAnsi="Times New Roman" w:cs="Times New Roman"/>
          <w:bCs/>
          <w:sz w:val="20"/>
          <w:szCs w:val="20"/>
        </w:rPr>
        <w:t xml:space="preserve"> an effe</w:t>
      </w:r>
      <w:r w:rsidR="00790395">
        <w:rPr>
          <w:rFonts w:ascii="Times New Roman" w:hAnsi="Times New Roman" w:cs="Times New Roman"/>
          <w:bCs/>
          <w:sz w:val="20"/>
          <w:szCs w:val="20"/>
        </w:rPr>
        <w:t xml:space="preserve">ctive internal control system. </w:t>
      </w:r>
      <w:bookmarkStart w:id="0" w:name="_GoBack"/>
      <w:bookmarkEnd w:id="0"/>
    </w:p>
    <w:p w:rsidR="00790C91" w:rsidRPr="000A0EF1" w:rsidRDefault="00D05A3D" w:rsidP="006C25AD">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0"/>
          <w:szCs w:val="20"/>
        </w:rPr>
      </w:pPr>
      <w:r w:rsidRPr="000A0EF1">
        <w:rPr>
          <w:rFonts w:ascii="Times New Roman" w:hAnsi="Times New Roman" w:cs="Times New Roman"/>
          <w:bCs/>
          <w:sz w:val="20"/>
          <w:szCs w:val="20"/>
        </w:rPr>
        <w:t>Defense Contract Audit Agency (DCAA) Pamphlet No. 7641.90 (DCAAP 7641.90),</w:t>
      </w:r>
      <w:r w:rsidR="00790C91" w:rsidRPr="000A0EF1">
        <w:rPr>
          <w:rFonts w:ascii="Times New Roman" w:hAnsi="Times New Roman" w:cs="Times New Roman"/>
          <w:bCs/>
          <w:sz w:val="20"/>
          <w:szCs w:val="20"/>
        </w:rPr>
        <w:t xml:space="preserve"> </w:t>
      </w:r>
      <w:r w:rsidRPr="000A0EF1">
        <w:rPr>
          <w:rFonts w:ascii="Times New Roman" w:hAnsi="Times New Roman" w:cs="Times New Roman"/>
          <w:bCs/>
          <w:sz w:val="20"/>
          <w:szCs w:val="20"/>
        </w:rPr>
        <w:t>Information for Contractors</w:t>
      </w:r>
      <w:r w:rsidR="006C25AD">
        <w:rPr>
          <w:rFonts w:ascii="Times New Roman" w:hAnsi="Times New Roman" w:cs="Times New Roman"/>
          <w:bCs/>
          <w:sz w:val="20"/>
          <w:szCs w:val="20"/>
        </w:rPr>
        <w:t xml:space="preserve">. </w:t>
      </w:r>
      <w:r w:rsidRPr="000A0EF1">
        <w:rPr>
          <w:rFonts w:ascii="Times New Roman" w:hAnsi="Times New Roman" w:cs="Times New Roman"/>
          <w:bCs/>
          <w:sz w:val="20"/>
          <w:szCs w:val="20"/>
        </w:rPr>
        <w:t>The DCAAP provides useful guidance but does not have the effect of</w:t>
      </w:r>
      <w:r w:rsidR="00790C91" w:rsidRPr="000A0EF1">
        <w:rPr>
          <w:rFonts w:ascii="Times New Roman" w:hAnsi="Times New Roman" w:cs="Times New Roman"/>
          <w:bCs/>
          <w:sz w:val="20"/>
          <w:szCs w:val="20"/>
        </w:rPr>
        <w:t xml:space="preserve"> </w:t>
      </w:r>
      <w:r w:rsidRPr="000A0EF1">
        <w:rPr>
          <w:rFonts w:ascii="Times New Roman" w:hAnsi="Times New Roman" w:cs="Times New Roman"/>
          <w:bCs/>
          <w:sz w:val="20"/>
          <w:szCs w:val="20"/>
        </w:rPr>
        <w:t>law. The DCAAP is referenced at FAR 31.002 and provides extensive guidance regarding labor-charging</w:t>
      </w:r>
      <w:r w:rsidR="00790C91" w:rsidRPr="000A0EF1">
        <w:rPr>
          <w:rFonts w:ascii="Times New Roman" w:hAnsi="Times New Roman" w:cs="Times New Roman"/>
          <w:bCs/>
          <w:sz w:val="20"/>
          <w:szCs w:val="20"/>
        </w:rPr>
        <w:t xml:space="preserve"> </w:t>
      </w:r>
      <w:r w:rsidRPr="000A0EF1">
        <w:rPr>
          <w:rFonts w:ascii="Times New Roman" w:hAnsi="Times New Roman" w:cs="Times New Roman"/>
          <w:bCs/>
          <w:sz w:val="20"/>
          <w:szCs w:val="20"/>
        </w:rPr>
        <w:t>systems. Specifically, sections 2-301 through 2-302.2</w:t>
      </w:r>
      <w:r w:rsidR="000A0EF1" w:rsidRPr="000A0EF1">
        <w:rPr>
          <w:rFonts w:ascii="Times New Roman" w:hAnsi="Times New Roman" w:cs="Times New Roman"/>
          <w:bCs/>
          <w:sz w:val="20"/>
          <w:szCs w:val="20"/>
        </w:rPr>
        <w:t xml:space="preserve"> provide guidance regarding the a</w:t>
      </w:r>
      <w:r w:rsidRPr="000A0EF1">
        <w:rPr>
          <w:rFonts w:ascii="Times New Roman" w:hAnsi="Times New Roman" w:cs="Times New Roman"/>
          <w:bCs/>
          <w:sz w:val="20"/>
          <w:szCs w:val="20"/>
        </w:rPr>
        <w:t>ccounting system</w:t>
      </w:r>
      <w:r w:rsidR="00790C91" w:rsidRPr="000A0EF1">
        <w:rPr>
          <w:rFonts w:ascii="Times New Roman" w:hAnsi="Times New Roman" w:cs="Times New Roman"/>
          <w:bCs/>
          <w:sz w:val="20"/>
          <w:szCs w:val="20"/>
        </w:rPr>
        <w:t xml:space="preserve"> internal control</w:t>
      </w:r>
      <w:r w:rsidRPr="000A0EF1">
        <w:rPr>
          <w:rFonts w:ascii="Times New Roman" w:hAnsi="Times New Roman" w:cs="Times New Roman"/>
          <w:bCs/>
          <w:sz w:val="20"/>
          <w:szCs w:val="20"/>
        </w:rPr>
        <w:t>,</w:t>
      </w:r>
      <w:r w:rsidR="000A0EF1" w:rsidRPr="000A0EF1">
        <w:rPr>
          <w:rFonts w:ascii="Times New Roman" w:hAnsi="Times New Roman" w:cs="Times New Roman"/>
          <w:bCs/>
          <w:sz w:val="20"/>
          <w:szCs w:val="20"/>
        </w:rPr>
        <w:t xml:space="preserve"> l</w:t>
      </w:r>
      <w:r w:rsidRPr="000A0EF1">
        <w:rPr>
          <w:rFonts w:ascii="Times New Roman" w:hAnsi="Times New Roman" w:cs="Times New Roman"/>
          <w:bCs/>
          <w:sz w:val="20"/>
          <w:szCs w:val="20"/>
        </w:rPr>
        <w:t>abor charging system</w:t>
      </w:r>
      <w:r w:rsidR="00790C91" w:rsidRPr="000A0EF1">
        <w:rPr>
          <w:rFonts w:ascii="Times New Roman" w:hAnsi="Times New Roman" w:cs="Times New Roman"/>
          <w:bCs/>
          <w:sz w:val="20"/>
          <w:szCs w:val="20"/>
        </w:rPr>
        <w:t xml:space="preserve"> internal control</w:t>
      </w:r>
      <w:r w:rsidRPr="000A0EF1">
        <w:rPr>
          <w:rFonts w:ascii="Times New Roman" w:hAnsi="Times New Roman" w:cs="Times New Roman"/>
          <w:bCs/>
          <w:sz w:val="20"/>
          <w:szCs w:val="20"/>
        </w:rPr>
        <w:t>,</w:t>
      </w:r>
      <w:r w:rsidR="000A0EF1" w:rsidRPr="000A0EF1">
        <w:rPr>
          <w:rFonts w:ascii="Times New Roman" w:hAnsi="Times New Roman" w:cs="Times New Roman"/>
          <w:bCs/>
          <w:sz w:val="20"/>
          <w:szCs w:val="20"/>
        </w:rPr>
        <w:t xml:space="preserve"> t</w:t>
      </w:r>
      <w:r w:rsidRPr="000A0EF1">
        <w:rPr>
          <w:rFonts w:ascii="Times New Roman" w:hAnsi="Times New Roman" w:cs="Times New Roman"/>
          <w:bCs/>
          <w:sz w:val="20"/>
          <w:szCs w:val="20"/>
        </w:rPr>
        <w:t>imecard preparation methods, and</w:t>
      </w:r>
      <w:r w:rsidR="000A0EF1" w:rsidRPr="000A0EF1">
        <w:rPr>
          <w:rFonts w:ascii="Times New Roman" w:hAnsi="Times New Roman" w:cs="Times New Roman"/>
          <w:bCs/>
          <w:sz w:val="20"/>
          <w:szCs w:val="20"/>
        </w:rPr>
        <w:t xml:space="preserve"> t</w:t>
      </w:r>
      <w:r w:rsidRPr="000A0EF1">
        <w:rPr>
          <w:rFonts w:ascii="Times New Roman" w:hAnsi="Times New Roman" w:cs="Times New Roman"/>
          <w:bCs/>
          <w:sz w:val="20"/>
          <w:szCs w:val="20"/>
        </w:rPr>
        <w:t>imekeeping policy</w:t>
      </w:r>
      <w:r w:rsidR="000A0EF1" w:rsidRPr="000A0EF1">
        <w:rPr>
          <w:rFonts w:ascii="Times New Roman" w:hAnsi="Times New Roman" w:cs="Times New Roman"/>
          <w:bCs/>
          <w:sz w:val="20"/>
          <w:szCs w:val="20"/>
        </w:rPr>
        <w:t>.</w:t>
      </w:r>
    </w:p>
    <w:p w:rsidR="00C56874" w:rsidRPr="00790395" w:rsidRDefault="00790C91" w:rsidP="006C25AD">
      <w:pPr>
        <w:pStyle w:val="ListParagraph"/>
        <w:numPr>
          <w:ilvl w:val="0"/>
          <w:numId w:val="15"/>
        </w:numPr>
        <w:autoSpaceDE w:val="0"/>
        <w:autoSpaceDN w:val="0"/>
        <w:adjustRightInd w:val="0"/>
        <w:spacing w:after="0" w:line="240" w:lineRule="auto"/>
        <w:contextualSpacing w:val="0"/>
        <w:rPr>
          <w:rFonts w:ascii="Times New Roman" w:hAnsi="Times New Roman" w:cs="Times New Roman"/>
          <w:sz w:val="20"/>
          <w:szCs w:val="20"/>
        </w:rPr>
      </w:pPr>
      <w:r w:rsidRPr="00790395">
        <w:rPr>
          <w:rFonts w:ascii="Times New Roman" w:hAnsi="Times New Roman" w:cs="Times New Roman"/>
          <w:sz w:val="20"/>
          <w:szCs w:val="20"/>
        </w:rPr>
        <w:t xml:space="preserve">Table 6-1 </w:t>
      </w:r>
      <w:r w:rsidR="00C56874" w:rsidRPr="00790395">
        <w:rPr>
          <w:rFonts w:ascii="Times New Roman" w:hAnsi="Times New Roman" w:cs="Times New Roman"/>
          <w:bCs/>
          <w:sz w:val="20"/>
          <w:szCs w:val="20"/>
        </w:rPr>
        <w:t xml:space="preserve">of </w:t>
      </w:r>
      <w:r w:rsidR="000A0EF1">
        <w:rPr>
          <w:rFonts w:ascii="Times New Roman" w:hAnsi="Times New Roman" w:cs="Times New Roman"/>
          <w:bCs/>
          <w:sz w:val="20"/>
          <w:szCs w:val="20"/>
        </w:rPr>
        <w:t>t</w:t>
      </w:r>
      <w:r w:rsidR="00C56874" w:rsidRPr="00790395">
        <w:rPr>
          <w:rFonts w:ascii="Times New Roman" w:hAnsi="Times New Roman" w:cs="Times New Roman"/>
          <w:bCs/>
          <w:sz w:val="20"/>
          <w:szCs w:val="20"/>
        </w:rPr>
        <w:t xml:space="preserve">he AASHTO Audit Guide </w:t>
      </w:r>
      <w:r w:rsidR="00C56874" w:rsidRPr="00790395">
        <w:rPr>
          <w:rFonts w:ascii="Times New Roman" w:hAnsi="Times New Roman" w:cs="Times New Roman"/>
          <w:sz w:val="20"/>
          <w:szCs w:val="20"/>
        </w:rPr>
        <w:t>provides a checklist of the model characteristics of a labor charging system.</w:t>
      </w:r>
    </w:p>
    <w:p w:rsidR="00790C91" w:rsidRDefault="00C56874" w:rsidP="00257F4D">
      <w:pPr>
        <w:pStyle w:val="ListParagraph"/>
        <w:numPr>
          <w:ilvl w:val="0"/>
          <w:numId w:val="15"/>
        </w:numPr>
        <w:autoSpaceDE w:val="0"/>
        <w:autoSpaceDN w:val="0"/>
        <w:adjustRightInd w:val="0"/>
        <w:spacing w:after="0" w:line="240" w:lineRule="auto"/>
        <w:contextualSpacing w:val="0"/>
        <w:rPr>
          <w:rFonts w:ascii="Times New Roman" w:hAnsi="Times New Roman" w:cs="Times New Roman"/>
          <w:sz w:val="20"/>
          <w:szCs w:val="20"/>
        </w:rPr>
      </w:pPr>
      <w:r w:rsidRPr="00257F4D">
        <w:rPr>
          <w:rFonts w:ascii="Times New Roman" w:hAnsi="Times New Roman" w:cs="Times New Roman"/>
          <w:sz w:val="20"/>
          <w:szCs w:val="20"/>
        </w:rPr>
        <w:t xml:space="preserve">Appendix B of </w:t>
      </w:r>
      <w:r w:rsidRPr="00257F4D">
        <w:rPr>
          <w:rFonts w:ascii="Times New Roman" w:hAnsi="Times New Roman" w:cs="Times New Roman"/>
          <w:bCs/>
          <w:sz w:val="20"/>
          <w:szCs w:val="20"/>
        </w:rPr>
        <w:t xml:space="preserve">The AASHTO Audit Guide provides an Internal Control Questionnaire for Consultant Engineers. </w:t>
      </w:r>
    </w:p>
    <w:sectPr w:rsidR="00790C91" w:rsidSect="00BB1EA3">
      <w:headerReference w:type="default" r:id="rId9"/>
      <w:footerReference w:type="default" r:id="rId10"/>
      <w:headerReference w:type="first" r:id="rId11"/>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EE" w:rsidRDefault="00995FEE" w:rsidP="00797F99">
      <w:pPr>
        <w:spacing w:after="0" w:line="240" w:lineRule="auto"/>
      </w:pPr>
      <w:r>
        <w:separator/>
      </w:r>
    </w:p>
  </w:endnote>
  <w:endnote w:type="continuationSeparator" w:id="0">
    <w:p w:rsidR="00995FEE" w:rsidRDefault="00995FEE" w:rsidP="0079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63884"/>
      <w:docPartObj>
        <w:docPartGallery w:val="Page Numbers (Bottom of Page)"/>
        <w:docPartUnique/>
      </w:docPartObj>
    </w:sdtPr>
    <w:sdtEndPr>
      <w:rPr>
        <w:rFonts w:ascii="Times New Roman" w:hAnsi="Times New Roman" w:cs="Times New Roman"/>
        <w:color w:val="808080" w:themeColor="background1" w:themeShade="80"/>
        <w:spacing w:val="60"/>
        <w:sz w:val="20"/>
      </w:rPr>
    </w:sdtEndPr>
    <w:sdtContent>
      <w:p w:rsidR="00257F4D" w:rsidRPr="00257F4D" w:rsidRDefault="00257F4D">
        <w:pPr>
          <w:pStyle w:val="Footer"/>
          <w:pBdr>
            <w:top w:val="single" w:sz="4" w:space="1" w:color="D9D9D9" w:themeColor="background1" w:themeShade="D9"/>
          </w:pBdr>
          <w:rPr>
            <w:rFonts w:ascii="Times New Roman" w:hAnsi="Times New Roman" w:cs="Times New Roman"/>
            <w:b/>
            <w:bCs/>
            <w:sz w:val="20"/>
          </w:rPr>
        </w:pPr>
        <w:r w:rsidRPr="00257F4D">
          <w:rPr>
            <w:rFonts w:ascii="Times New Roman" w:hAnsi="Times New Roman" w:cs="Times New Roman"/>
            <w:sz w:val="20"/>
          </w:rPr>
          <w:fldChar w:fldCharType="begin"/>
        </w:r>
        <w:r w:rsidRPr="00257F4D">
          <w:rPr>
            <w:rFonts w:ascii="Times New Roman" w:hAnsi="Times New Roman" w:cs="Times New Roman"/>
            <w:sz w:val="20"/>
          </w:rPr>
          <w:instrText xml:space="preserve"> PAGE   \* MERGEFORMAT </w:instrText>
        </w:r>
        <w:r w:rsidRPr="00257F4D">
          <w:rPr>
            <w:rFonts w:ascii="Times New Roman" w:hAnsi="Times New Roman" w:cs="Times New Roman"/>
            <w:sz w:val="20"/>
          </w:rPr>
          <w:fldChar w:fldCharType="separate"/>
        </w:r>
        <w:r w:rsidR="00280F76" w:rsidRPr="00280F76">
          <w:rPr>
            <w:rFonts w:ascii="Times New Roman" w:hAnsi="Times New Roman" w:cs="Times New Roman"/>
            <w:b/>
            <w:bCs/>
            <w:noProof/>
            <w:sz w:val="20"/>
          </w:rPr>
          <w:t>3</w:t>
        </w:r>
        <w:r w:rsidRPr="00257F4D">
          <w:rPr>
            <w:rFonts w:ascii="Times New Roman" w:hAnsi="Times New Roman" w:cs="Times New Roman"/>
            <w:b/>
            <w:bCs/>
            <w:noProof/>
            <w:sz w:val="20"/>
          </w:rPr>
          <w:fldChar w:fldCharType="end"/>
        </w:r>
        <w:r w:rsidRPr="00257F4D">
          <w:rPr>
            <w:rFonts w:ascii="Times New Roman" w:hAnsi="Times New Roman" w:cs="Times New Roman"/>
            <w:b/>
            <w:bCs/>
            <w:sz w:val="20"/>
          </w:rPr>
          <w:t xml:space="preserve"> | </w:t>
        </w:r>
        <w:r w:rsidRPr="00257F4D">
          <w:rPr>
            <w:rFonts w:ascii="Times New Roman" w:hAnsi="Times New Roman" w:cs="Times New Roman"/>
            <w:color w:val="808080" w:themeColor="background1" w:themeShade="80"/>
            <w:spacing w:val="60"/>
            <w:sz w:val="20"/>
          </w:rPr>
          <w:t>Page</w:t>
        </w:r>
      </w:p>
    </w:sdtContent>
  </w:sdt>
  <w:p w:rsidR="00257F4D" w:rsidRDefault="0025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EE" w:rsidRDefault="00995FEE" w:rsidP="00797F99">
      <w:pPr>
        <w:spacing w:after="0" w:line="240" w:lineRule="auto"/>
      </w:pPr>
      <w:r>
        <w:separator/>
      </w:r>
    </w:p>
  </w:footnote>
  <w:footnote w:type="continuationSeparator" w:id="0">
    <w:p w:rsidR="00995FEE" w:rsidRDefault="00995FEE" w:rsidP="00797F99">
      <w:pPr>
        <w:spacing w:after="0" w:line="240" w:lineRule="auto"/>
      </w:pPr>
      <w:r>
        <w:continuationSeparator/>
      </w:r>
    </w:p>
  </w:footnote>
  <w:footnote w:id="1">
    <w:p w:rsidR="00A62A11" w:rsidRPr="00A62A11" w:rsidRDefault="00A62A11">
      <w:pPr>
        <w:pStyle w:val="FootnoteText"/>
        <w:rPr>
          <w:sz w:val="18"/>
          <w:szCs w:val="18"/>
        </w:rPr>
      </w:pPr>
      <w:r>
        <w:rPr>
          <w:rStyle w:val="FootnoteReference"/>
        </w:rPr>
        <w:footnoteRef/>
      </w:r>
      <w:r>
        <w:t xml:space="preserve"> </w:t>
      </w:r>
      <w:r w:rsidRPr="00A62A11">
        <w:rPr>
          <w:rFonts w:ascii="Times New Roman" w:hAnsi="Times New Roman" w:cs="Times New Roman"/>
          <w:sz w:val="18"/>
          <w:szCs w:val="18"/>
        </w:rPr>
        <w:t>In this document, “management” refers to the managers, owners, and</w:t>
      </w:r>
      <w:r>
        <w:rPr>
          <w:rFonts w:ascii="Times New Roman" w:hAnsi="Times New Roman" w:cs="Times New Roman"/>
          <w:sz w:val="18"/>
          <w:szCs w:val="18"/>
        </w:rPr>
        <w:t>/or</w:t>
      </w:r>
      <w:r w:rsidRPr="00A62A11">
        <w:rPr>
          <w:rFonts w:ascii="Times New Roman" w:hAnsi="Times New Roman" w:cs="Times New Roman"/>
          <w:sz w:val="18"/>
          <w:szCs w:val="18"/>
        </w:rPr>
        <w:t xml:space="preserve"> principals of the engineering consulting firm.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EE" w:rsidRDefault="00995FEE" w:rsidP="008801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OHIO DEPARTMENT OF TRANSPORTATION</w:t>
    </w:r>
  </w:p>
  <w:p w:rsidR="00995FEE" w:rsidRDefault="00995FEE" w:rsidP="00880170">
    <w:pPr>
      <w:pStyle w:val="Header"/>
      <w:jc w:val="center"/>
      <w:rPr>
        <w:rFonts w:ascii="Times New Roman" w:hAnsi="Times New Roman" w:cs="Times New Roman"/>
      </w:rPr>
    </w:pPr>
    <w:r w:rsidRPr="006C55F4">
      <w:rPr>
        <w:rFonts w:ascii="Times New Roman" w:hAnsi="Times New Roman" w:cs="Times New Roman"/>
      </w:rPr>
      <w:t xml:space="preserve">Safe Harbor </w:t>
    </w:r>
    <w:r>
      <w:rPr>
        <w:rFonts w:ascii="Times New Roman" w:hAnsi="Times New Roman" w:cs="Times New Roman"/>
      </w:rPr>
      <w:t>Pathway to Compliance for Engineering Consultants</w:t>
    </w:r>
  </w:p>
  <w:p w:rsidR="000A0EF1" w:rsidRDefault="000A0EF1" w:rsidP="00880170">
    <w:pPr>
      <w:pStyle w:val="Header"/>
      <w:jc w:val="center"/>
      <w:rPr>
        <w:rFonts w:ascii="Times New Roman" w:hAnsi="Times New Roman" w:cs="Times New Roman"/>
      </w:rPr>
    </w:pPr>
    <w:r>
      <w:rPr>
        <w:rFonts w:ascii="Times New Roman" w:hAnsi="Times New Roman" w:cs="Times New Roman"/>
      </w:rPr>
      <w:t>Pilot Program (Effective July 1, 2013)</w:t>
    </w:r>
  </w:p>
  <w:p w:rsidR="00995FEE" w:rsidRPr="006C55F4" w:rsidRDefault="00995FE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EE" w:rsidRDefault="00995FEE">
    <w:pPr>
      <w:pStyle w:val="Header"/>
    </w:pPr>
    <w:r w:rsidRPr="006C55F4">
      <w:rPr>
        <w:rFonts w:ascii="Times New Roman" w:hAnsi="Times New Roman" w:cs="Times New Roman"/>
      </w:rPr>
      <w:t>Safe Harbor Indirect Cost Rate Test &amp; Evaluation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7E"/>
    <w:multiLevelType w:val="hybridMultilevel"/>
    <w:tmpl w:val="57A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D0E2F"/>
    <w:multiLevelType w:val="hybridMultilevel"/>
    <w:tmpl w:val="C088B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940BB"/>
    <w:multiLevelType w:val="hybridMultilevel"/>
    <w:tmpl w:val="1C2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A7CAC"/>
    <w:multiLevelType w:val="hybridMultilevel"/>
    <w:tmpl w:val="111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B52DD"/>
    <w:multiLevelType w:val="hybridMultilevel"/>
    <w:tmpl w:val="56BA8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F7F4C"/>
    <w:multiLevelType w:val="hybridMultilevel"/>
    <w:tmpl w:val="ABC05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F15F4"/>
    <w:multiLevelType w:val="hybridMultilevel"/>
    <w:tmpl w:val="7A7A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564C9"/>
    <w:multiLevelType w:val="hybridMultilevel"/>
    <w:tmpl w:val="A33A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A4885"/>
    <w:multiLevelType w:val="hybridMultilevel"/>
    <w:tmpl w:val="C4BA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C598C"/>
    <w:multiLevelType w:val="hybridMultilevel"/>
    <w:tmpl w:val="918A0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C6005"/>
    <w:multiLevelType w:val="hybridMultilevel"/>
    <w:tmpl w:val="B29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092EC0"/>
    <w:multiLevelType w:val="hybridMultilevel"/>
    <w:tmpl w:val="635C1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0182C"/>
    <w:multiLevelType w:val="hybridMultilevel"/>
    <w:tmpl w:val="0F6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81B71"/>
    <w:multiLevelType w:val="hybridMultilevel"/>
    <w:tmpl w:val="C62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B5DD0"/>
    <w:multiLevelType w:val="hybridMultilevel"/>
    <w:tmpl w:val="A41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F1AAE"/>
    <w:multiLevelType w:val="hybridMultilevel"/>
    <w:tmpl w:val="5510D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0"/>
  </w:num>
  <w:num w:numId="5">
    <w:abstractNumId w:val="14"/>
  </w:num>
  <w:num w:numId="6">
    <w:abstractNumId w:val="2"/>
  </w:num>
  <w:num w:numId="7">
    <w:abstractNumId w:val="10"/>
  </w:num>
  <w:num w:numId="8">
    <w:abstractNumId w:val="6"/>
  </w:num>
  <w:num w:numId="9">
    <w:abstractNumId w:val="7"/>
  </w:num>
  <w:num w:numId="10">
    <w:abstractNumId w:val="1"/>
  </w:num>
  <w:num w:numId="11">
    <w:abstractNumId w:val="15"/>
  </w:num>
  <w:num w:numId="12">
    <w:abstractNumId w:val="5"/>
  </w:num>
  <w:num w:numId="13">
    <w:abstractNumId w:val="8"/>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6E"/>
    <w:rsid w:val="000028B1"/>
    <w:rsid w:val="00005B81"/>
    <w:rsid w:val="00013162"/>
    <w:rsid w:val="00024433"/>
    <w:rsid w:val="00025D6D"/>
    <w:rsid w:val="00032693"/>
    <w:rsid w:val="00034336"/>
    <w:rsid w:val="0003718D"/>
    <w:rsid w:val="000468B0"/>
    <w:rsid w:val="00053946"/>
    <w:rsid w:val="00063B96"/>
    <w:rsid w:val="0007521F"/>
    <w:rsid w:val="00077866"/>
    <w:rsid w:val="00081E4D"/>
    <w:rsid w:val="00082099"/>
    <w:rsid w:val="00095CB4"/>
    <w:rsid w:val="000A0EF1"/>
    <w:rsid w:val="000A1FA5"/>
    <w:rsid w:val="000B1862"/>
    <w:rsid w:val="000B1CF4"/>
    <w:rsid w:val="000C043D"/>
    <w:rsid w:val="000D0C7C"/>
    <w:rsid w:val="000F286B"/>
    <w:rsid w:val="0010486A"/>
    <w:rsid w:val="00105258"/>
    <w:rsid w:val="00110FFF"/>
    <w:rsid w:val="0012104D"/>
    <w:rsid w:val="00124187"/>
    <w:rsid w:val="00125ACA"/>
    <w:rsid w:val="00126D49"/>
    <w:rsid w:val="00152892"/>
    <w:rsid w:val="0016117C"/>
    <w:rsid w:val="00162439"/>
    <w:rsid w:val="0016302C"/>
    <w:rsid w:val="001743B2"/>
    <w:rsid w:val="00180113"/>
    <w:rsid w:val="00181507"/>
    <w:rsid w:val="00187BCF"/>
    <w:rsid w:val="001A62A2"/>
    <w:rsid w:val="001D4AB0"/>
    <w:rsid w:val="001D735A"/>
    <w:rsid w:val="001E01F5"/>
    <w:rsid w:val="001E072F"/>
    <w:rsid w:val="001E66E7"/>
    <w:rsid w:val="00205811"/>
    <w:rsid w:val="00216FE9"/>
    <w:rsid w:val="00217CAA"/>
    <w:rsid w:val="00225FFF"/>
    <w:rsid w:val="00235614"/>
    <w:rsid w:val="0024515D"/>
    <w:rsid w:val="00245D01"/>
    <w:rsid w:val="002512E9"/>
    <w:rsid w:val="00252295"/>
    <w:rsid w:val="00257F4D"/>
    <w:rsid w:val="0026169F"/>
    <w:rsid w:val="00266799"/>
    <w:rsid w:val="00270ADC"/>
    <w:rsid w:val="00280F76"/>
    <w:rsid w:val="00295308"/>
    <w:rsid w:val="00296F25"/>
    <w:rsid w:val="002A1998"/>
    <w:rsid w:val="002A3400"/>
    <w:rsid w:val="002C5FDE"/>
    <w:rsid w:val="002D033C"/>
    <w:rsid w:val="002E0AC1"/>
    <w:rsid w:val="002E7432"/>
    <w:rsid w:val="002F7FE5"/>
    <w:rsid w:val="0030251C"/>
    <w:rsid w:val="00307E60"/>
    <w:rsid w:val="003115CF"/>
    <w:rsid w:val="003166E7"/>
    <w:rsid w:val="003317C2"/>
    <w:rsid w:val="00350852"/>
    <w:rsid w:val="00352FCE"/>
    <w:rsid w:val="003555E0"/>
    <w:rsid w:val="00356DE5"/>
    <w:rsid w:val="0037295C"/>
    <w:rsid w:val="003767C4"/>
    <w:rsid w:val="00377C8F"/>
    <w:rsid w:val="00381780"/>
    <w:rsid w:val="00396E45"/>
    <w:rsid w:val="003A4799"/>
    <w:rsid w:val="003B7847"/>
    <w:rsid w:val="003C2D81"/>
    <w:rsid w:val="003C2F8E"/>
    <w:rsid w:val="003C67D0"/>
    <w:rsid w:val="003D4201"/>
    <w:rsid w:val="003D482B"/>
    <w:rsid w:val="003D78DC"/>
    <w:rsid w:val="003D7D9B"/>
    <w:rsid w:val="003E28BD"/>
    <w:rsid w:val="003E63C1"/>
    <w:rsid w:val="003E79D2"/>
    <w:rsid w:val="003F2931"/>
    <w:rsid w:val="004010EC"/>
    <w:rsid w:val="00413ABF"/>
    <w:rsid w:val="00420F93"/>
    <w:rsid w:val="00422C48"/>
    <w:rsid w:val="00423C65"/>
    <w:rsid w:val="004272CA"/>
    <w:rsid w:val="004326F4"/>
    <w:rsid w:val="00453D35"/>
    <w:rsid w:val="00462C3C"/>
    <w:rsid w:val="00465E50"/>
    <w:rsid w:val="00477E66"/>
    <w:rsid w:val="004913A3"/>
    <w:rsid w:val="00491C9A"/>
    <w:rsid w:val="004A377B"/>
    <w:rsid w:val="004A4A3E"/>
    <w:rsid w:val="004A5C68"/>
    <w:rsid w:val="004D6436"/>
    <w:rsid w:val="004F21C4"/>
    <w:rsid w:val="005016B9"/>
    <w:rsid w:val="005016DC"/>
    <w:rsid w:val="0050463D"/>
    <w:rsid w:val="00505A44"/>
    <w:rsid w:val="00506374"/>
    <w:rsid w:val="00507E39"/>
    <w:rsid w:val="00515A71"/>
    <w:rsid w:val="00515E33"/>
    <w:rsid w:val="00517507"/>
    <w:rsid w:val="005264FB"/>
    <w:rsid w:val="00526B83"/>
    <w:rsid w:val="00527EC1"/>
    <w:rsid w:val="00530EC8"/>
    <w:rsid w:val="0053128C"/>
    <w:rsid w:val="00532246"/>
    <w:rsid w:val="00555041"/>
    <w:rsid w:val="00556B6B"/>
    <w:rsid w:val="00564C06"/>
    <w:rsid w:val="00587853"/>
    <w:rsid w:val="00592FB6"/>
    <w:rsid w:val="005A3993"/>
    <w:rsid w:val="005B1647"/>
    <w:rsid w:val="005B1731"/>
    <w:rsid w:val="005C024B"/>
    <w:rsid w:val="005C5945"/>
    <w:rsid w:val="005D20A8"/>
    <w:rsid w:val="005D3090"/>
    <w:rsid w:val="005F0BD2"/>
    <w:rsid w:val="005F47D5"/>
    <w:rsid w:val="00603237"/>
    <w:rsid w:val="0060336F"/>
    <w:rsid w:val="00603D58"/>
    <w:rsid w:val="00610317"/>
    <w:rsid w:val="00621993"/>
    <w:rsid w:val="00621C58"/>
    <w:rsid w:val="0063753A"/>
    <w:rsid w:val="00640AA1"/>
    <w:rsid w:val="0065649C"/>
    <w:rsid w:val="00666DB4"/>
    <w:rsid w:val="0067267A"/>
    <w:rsid w:val="00676BB4"/>
    <w:rsid w:val="00676F36"/>
    <w:rsid w:val="00695641"/>
    <w:rsid w:val="006B3C69"/>
    <w:rsid w:val="006B492E"/>
    <w:rsid w:val="006B51BA"/>
    <w:rsid w:val="006C25AD"/>
    <w:rsid w:val="006C46ED"/>
    <w:rsid w:val="006C55F4"/>
    <w:rsid w:val="006C5947"/>
    <w:rsid w:val="006E1598"/>
    <w:rsid w:val="006E2920"/>
    <w:rsid w:val="00704FBC"/>
    <w:rsid w:val="00711035"/>
    <w:rsid w:val="007110DB"/>
    <w:rsid w:val="0071211D"/>
    <w:rsid w:val="007332D8"/>
    <w:rsid w:val="00736582"/>
    <w:rsid w:val="0073764E"/>
    <w:rsid w:val="00745BE5"/>
    <w:rsid w:val="007471B4"/>
    <w:rsid w:val="007512EB"/>
    <w:rsid w:val="00760906"/>
    <w:rsid w:val="00764747"/>
    <w:rsid w:val="00767FAE"/>
    <w:rsid w:val="00774027"/>
    <w:rsid w:val="00790395"/>
    <w:rsid w:val="00790C91"/>
    <w:rsid w:val="00794341"/>
    <w:rsid w:val="00797F99"/>
    <w:rsid w:val="007B1F1C"/>
    <w:rsid w:val="007B285E"/>
    <w:rsid w:val="007B2CB3"/>
    <w:rsid w:val="007B60AC"/>
    <w:rsid w:val="007C6BD2"/>
    <w:rsid w:val="007D17D9"/>
    <w:rsid w:val="007D4966"/>
    <w:rsid w:val="007D56DB"/>
    <w:rsid w:val="007D5A5E"/>
    <w:rsid w:val="007E4E4D"/>
    <w:rsid w:val="007F5CDF"/>
    <w:rsid w:val="00811827"/>
    <w:rsid w:val="00815373"/>
    <w:rsid w:val="0082053F"/>
    <w:rsid w:val="00847F2B"/>
    <w:rsid w:val="00865312"/>
    <w:rsid w:val="00873ABC"/>
    <w:rsid w:val="00880170"/>
    <w:rsid w:val="00881FAB"/>
    <w:rsid w:val="008901F2"/>
    <w:rsid w:val="00892653"/>
    <w:rsid w:val="008A0870"/>
    <w:rsid w:val="008A34E6"/>
    <w:rsid w:val="008B1558"/>
    <w:rsid w:val="008B4B4B"/>
    <w:rsid w:val="008C10EC"/>
    <w:rsid w:val="008C7A9B"/>
    <w:rsid w:val="008D212F"/>
    <w:rsid w:val="008D515C"/>
    <w:rsid w:val="008E3275"/>
    <w:rsid w:val="0090165C"/>
    <w:rsid w:val="009061D5"/>
    <w:rsid w:val="00906378"/>
    <w:rsid w:val="0091542D"/>
    <w:rsid w:val="00917A15"/>
    <w:rsid w:val="0092182F"/>
    <w:rsid w:val="00936703"/>
    <w:rsid w:val="00942516"/>
    <w:rsid w:val="00953102"/>
    <w:rsid w:val="00955CF4"/>
    <w:rsid w:val="00955FAA"/>
    <w:rsid w:val="00960AF8"/>
    <w:rsid w:val="0096171E"/>
    <w:rsid w:val="009629D8"/>
    <w:rsid w:val="00973713"/>
    <w:rsid w:val="00994B74"/>
    <w:rsid w:val="00994D77"/>
    <w:rsid w:val="00995FEE"/>
    <w:rsid w:val="009A1C56"/>
    <w:rsid w:val="009A35B1"/>
    <w:rsid w:val="009B1AAA"/>
    <w:rsid w:val="009B6CED"/>
    <w:rsid w:val="009B7C64"/>
    <w:rsid w:val="009D22CD"/>
    <w:rsid w:val="009D316D"/>
    <w:rsid w:val="009D3E6B"/>
    <w:rsid w:val="009F09B9"/>
    <w:rsid w:val="009F36B1"/>
    <w:rsid w:val="009F66C5"/>
    <w:rsid w:val="00A00E27"/>
    <w:rsid w:val="00A03502"/>
    <w:rsid w:val="00A04A14"/>
    <w:rsid w:val="00A109BE"/>
    <w:rsid w:val="00A167EF"/>
    <w:rsid w:val="00A35312"/>
    <w:rsid w:val="00A54DE5"/>
    <w:rsid w:val="00A57066"/>
    <w:rsid w:val="00A6209E"/>
    <w:rsid w:val="00A62A11"/>
    <w:rsid w:val="00A7067F"/>
    <w:rsid w:val="00AA254B"/>
    <w:rsid w:val="00AB0706"/>
    <w:rsid w:val="00AB63A7"/>
    <w:rsid w:val="00AB708A"/>
    <w:rsid w:val="00AC2543"/>
    <w:rsid w:val="00AD1960"/>
    <w:rsid w:val="00B034E4"/>
    <w:rsid w:val="00B23691"/>
    <w:rsid w:val="00B275B0"/>
    <w:rsid w:val="00B321CC"/>
    <w:rsid w:val="00B3628A"/>
    <w:rsid w:val="00B45AE9"/>
    <w:rsid w:val="00B45EE1"/>
    <w:rsid w:val="00B46776"/>
    <w:rsid w:val="00B704E4"/>
    <w:rsid w:val="00B70A1C"/>
    <w:rsid w:val="00B76672"/>
    <w:rsid w:val="00B774B0"/>
    <w:rsid w:val="00BA0648"/>
    <w:rsid w:val="00BA1B6E"/>
    <w:rsid w:val="00BB09B2"/>
    <w:rsid w:val="00BB1EA3"/>
    <w:rsid w:val="00BC1FA2"/>
    <w:rsid w:val="00BC6CDA"/>
    <w:rsid w:val="00BC7E0B"/>
    <w:rsid w:val="00BD44CB"/>
    <w:rsid w:val="00BD4B77"/>
    <w:rsid w:val="00BF0B38"/>
    <w:rsid w:val="00BF48BD"/>
    <w:rsid w:val="00BF59F5"/>
    <w:rsid w:val="00BF6E59"/>
    <w:rsid w:val="00BF717F"/>
    <w:rsid w:val="00C030DA"/>
    <w:rsid w:val="00C17A4B"/>
    <w:rsid w:val="00C5033B"/>
    <w:rsid w:val="00C50450"/>
    <w:rsid w:val="00C54908"/>
    <w:rsid w:val="00C56874"/>
    <w:rsid w:val="00C56F13"/>
    <w:rsid w:val="00C604BD"/>
    <w:rsid w:val="00C60B2B"/>
    <w:rsid w:val="00C724B4"/>
    <w:rsid w:val="00C75626"/>
    <w:rsid w:val="00C75E00"/>
    <w:rsid w:val="00C813BF"/>
    <w:rsid w:val="00C938E9"/>
    <w:rsid w:val="00CA09F4"/>
    <w:rsid w:val="00CB085F"/>
    <w:rsid w:val="00CB12EE"/>
    <w:rsid w:val="00CB463F"/>
    <w:rsid w:val="00CB49E9"/>
    <w:rsid w:val="00CB52A3"/>
    <w:rsid w:val="00CB7E6E"/>
    <w:rsid w:val="00CD038B"/>
    <w:rsid w:val="00CE1046"/>
    <w:rsid w:val="00CE373B"/>
    <w:rsid w:val="00D00127"/>
    <w:rsid w:val="00D01CAA"/>
    <w:rsid w:val="00D05A3D"/>
    <w:rsid w:val="00D36786"/>
    <w:rsid w:val="00D65BFF"/>
    <w:rsid w:val="00D670C0"/>
    <w:rsid w:val="00D70268"/>
    <w:rsid w:val="00D72C1E"/>
    <w:rsid w:val="00D81361"/>
    <w:rsid w:val="00DA574D"/>
    <w:rsid w:val="00DA62D4"/>
    <w:rsid w:val="00DB5C20"/>
    <w:rsid w:val="00DC6CFC"/>
    <w:rsid w:val="00DD57C4"/>
    <w:rsid w:val="00DE742C"/>
    <w:rsid w:val="00DF185F"/>
    <w:rsid w:val="00DF78AA"/>
    <w:rsid w:val="00E014E5"/>
    <w:rsid w:val="00E13B63"/>
    <w:rsid w:val="00E251C9"/>
    <w:rsid w:val="00E36134"/>
    <w:rsid w:val="00E41142"/>
    <w:rsid w:val="00E4250D"/>
    <w:rsid w:val="00E60015"/>
    <w:rsid w:val="00E62AE7"/>
    <w:rsid w:val="00E64FDC"/>
    <w:rsid w:val="00E70C26"/>
    <w:rsid w:val="00E74000"/>
    <w:rsid w:val="00E838EB"/>
    <w:rsid w:val="00E87FAE"/>
    <w:rsid w:val="00EA14AB"/>
    <w:rsid w:val="00EA18E6"/>
    <w:rsid w:val="00EA2FDA"/>
    <w:rsid w:val="00EA61CF"/>
    <w:rsid w:val="00EB6B02"/>
    <w:rsid w:val="00EB6EA2"/>
    <w:rsid w:val="00EC08F2"/>
    <w:rsid w:val="00EC70F2"/>
    <w:rsid w:val="00ED5781"/>
    <w:rsid w:val="00EE28A3"/>
    <w:rsid w:val="00EE3C11"/>
    <w:rsid w:val="00EE4B7A"/>
    <w:rsid w:val="00F0208F"/>
    <w:rsid w:val="00F17404"/>
    <w:rsid w:val="00F224A9"/>
    <w:rsid w:val="00F37540"/>
    <w:rsid w:val="00F44338"/>
    <w:rsid w:val="00F47771"/>
    <w:rsid w:val="00F72EC2"/>
    <w:rsid w:val="00F73034"/>
    <w:rsid w:val="00F74523"/>
    <w:rsid w:val="00F75738"/>
    <w:rsid w:val="00F75AE4"/>
    <w:rsid w:val="00F87045"/>
    <w:rsid w:val="00FA451D"/>
    <w:rsid w:val="00FB02C3"/>
    <w:rsid w:val="00FB25BD"/>
    <w:rsid w:val="00FB4572"/>
    <w:rsid w:val="00FC47F3"/>
    <w:rsid w:val="00FC6038"/>
    <w:rsid w:val="00FC6A4E"/>
    <w:rsid w:val="00FE6EE0"/>
    <w:rsid w:val="00FF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1"/>
    <w:rPr>
      <w:rFonts w:ascii="Tahoma" w:hAnsi="Tahoma" w:cs="Tahoma"/>
      <w:sz w:val="16"/>
      <w:szCs w:val="16"/>
    </w:rPr>
  </w:style>
  <w:style w:type="paragraph" w:styleId="ListParagraph">
    <w:name w:val="List Paragraph"/>
    <w:basedOn w:val="Normal"/>
    <w:uiPriority w:val="34"/>
    <w:qFormat/>
    <w:rsid w:val="003C2D81"/>
    <w:pPr>
      <w:ind w:left="720"/>
      <w:contextualSpacing/>
    </w:pPr>
  </w:style>
  <w:style w:type="character" w:styleId="CommentReference">
    <w:name w:val="annotation reference"/>
    <w:basedOn w:val="DefaultParagraphFont"/>
    <w:uiPriority w:val="99"/>
    <w:semiHidden/>
    <w:unhideWhenUsed/>
    <w:rsid w:val="003F2931"/>
    <w:rPr>
      <w:sz w:val="16"/>
      <w:szCs w:val="16"/>
    </w:rPr>
  </w:style>
  <w:style w:type="paragraph" w:styleId="CommentText">
    <w:name w:val="annotation text"/>
    <w:basedOn w:val="Normal"/>
    <w:link w:val="CommentTextChar"/>
    <w:uiPriority w:val="99"/>
    <w:unhideWhenUsed/>
    <w:rsid w:val="003F2931"/>
    <w:pPr>
      <w:spacing w:line="240" w:lineRule="auto"/>
    </w:pPr>
    <w:rPr>
      <w:sz w:val="20"/>
      <w:szCs w:val="20"/>
    </w:rPr>
  </w:style>
  <w:style w:type="character" w:customStyle="1" w:styleId="CommentTextChar">
    <w:name w:val="Comment Text Char"/>
    <w:basedOn w:val="DefaultParagraphFont"/>
    <w:link w:val="CommentText"/>
    <w:uiPriority w:val="99"/>
    <w:rsid w:val="003F2931"/>
    <w:rPr>
      <w:sz w:val="20"/>
      <w:szCs w:val="20"/>
    </w:rPr>
  </w:style>
  <w:style w:type="paragraph" w:styleId="CommentSubject">
    <w:name w:val="annotation subject"/>
    <w:basedOn w:val="CommentText"/>
    <w:next w:val="CommentText"/>
    <w:link w:val="CommentSubjectChar"/>
    <w:uiPriority w:val="99"/>
    <w:semiHidden/>
    <w:unhideWhenUsed/>
    <w:rsid w:val="003F2931"/>
    <w:rPr>
      <w:b/>
      <w:bCs/>
    </w:rPr>
  </w:style>
  <w:style w:type="character" w:customStyle="1" w:styleId="CommentSubjectChar">
    <w:name w:val="Comment Subject Char"/>
    <w:basedOn w:val="CommentTextChar"/>
    <w:link w:val="CommentSubject"/>
    <w:uiPriority w:val="99"/>
    <w:semiHidden/>
    <w:rsid w:val="003F2931"/>
    <w:rPr>
      <w:b/>
      <w:bCs/>
      <w:sz w:val="20"/>
      <w:szCs w:val="20"/>
    </w:rPr>
  </w:style>
  <w:style w:type="paragraph" w:styleId="Header">
    <w:name w:val="header"/>
    <w:basedOn w:val="Normal"/>
    <w:link w:val="HeaderChar"/>
    <w:uiPriority w:val="99"/>
    <w:unhideWhenUsed/>
    <w:rsid w:val="0079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99"/>
  </w:style>
  <w:style w:type="paragraph" w:styleId="Footer">
    <w:name w:val="footer"/>
    <w:basedOn w:val="Normal"/>
    <w:link w:val="FooterChar"/>
    <w:uiPriority w:val="99"/>
    <w:unhideWhenUsed/>
    <w:rsid w:val="0079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99"/>
  </w:style>
  <w:style w:type="character" w:styleId="Hyperlink">
    <w:name w:val="Hyperlink"/>
    <w:basedOn w:val="DefaultParagraphFont"/>
    <w:uiPriority w:val="99"/>
    <w:unhideWhenUsed/>
    <w:rsid w:val="0082053F"/>
    <w:rPr>
      <w:color w:val="0000FF"/>
      <w:u w:val="single"/>
    </w:rPr>
  </w:style>
  <w:style w:type="paragraph" w:styleId="Revision">
    <w:name w:val="Revision"/>
    <w:hidden/>
    <w:uiPriority w:val="99"/>
    <w:semiHidden/>
    <w:rsid w:val="009629D8"/>
    <w:pPr>
      <w:spacing w:after="0" w:line="240" w:lineRule="auto"/>
    </w:pPr>
  </w:style>
  <w:style w:type="paragraph" w:styleId="FootnoteText">
    <w:name w:val="footnote text"/>
    <w:basedOn w:val="Normal"/>
    <w:link w:val="FootnoteTextChar"/>
    <w:uiPriority w:val="99"/>
    <w:semiHidden/>
    <w:unhideWhenUsed/>
    <w:rsid w:val="00A6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A11"/>
    <w:rPr>
      <w:sz w:val="20"/>
      <w:szCs w:val="20"/>
    </w:rPr>
  </w:style>
  <w:style w:type="character" w:styleId="FootnoteReference">
    <w:name w:val="footnote reference"/>
    <w:basedOn w:val="DefaultParagraphFont"/>
    <w:uiPriority w:val="99"/>
    <w:semiHidden/>
    <w:unhideWhenUsed/>
    <w:rsid w:val="00A62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1"/>
    <w:rPr>
      <w:rFonts w:ascii="Tahoma" w:hAnsi="Tahoma" w:cs="Tahoma"/>
      <w:sz w:val="16"/>
      <w:szCs w:val="16"/>
    </w:rPr>
  </w:style>
  <w:style w:type="paragraph" w:styleId="ListParagraph">
    <w:name w:val="List Paragraph"/>
    <w:basedOn w:val="Normal"/>
    <w:uiPriority w:val="34"/>
    <w:qFormat/>
    <w:rsid w:val="003C2D81"/>
    <w:pPr>
      <w:ind w:left="720"/>
      <w:contextualSpacing/>
    </w:pPr>
  </w:style>
  <w:style w:type="character" w:styleId="CommentReference">
    <w:name w:val="annotation reference"/>
    <w:basedOn w:val="DefaultParagraphFont"/>
    <w:uiPriority w:val="99"/>
    <w:semiHidden/>
    <w:unhideWhenUsed/>
    <w:rsid w:val="003F2931"/>
    <w:rPr>
      <w:sz w:val="16"/>
      <w:szCs w:val="16"/>
    </w:rPr>
  </w:style>
  <w:style w:type="paragraph" w:styleId="CommentText">
    <w:name w:val="annotation text"/>
    <w:basedOn w:val="Normal"/>
    <w:link w:val="CommentTextChar"/>
    <w:uiPriority w:val="99"/>
    <w:unhideWhenUsed/>
    <w:rsid w:val="003F2931"/>
    <w:pPr>
      <w:spacing w:line="240" w:lineRule="auto"/>
    </w:pPr>
    <w:rPr>
      <w:sz w:val="20"/>
      <w:szCs w:val="20"/>
    </w:rPr>
  </w:style>
  <w:style w:type="character" w:customStyle="1" w:styleId="CommentTextChar">
    <w:name w:val="Comment Text Char"/>
    <w:basedOn w:val="DefaultParagraphFont"/>
    <w:link w:val="CommentText"/>
    <w:uiPriority w:val="99"/>
    <w:rsid w:val="003F2931"/>
    <w:rPr>
      <w:sz w:val="20"/>
      <w:szCs w:val="20"/>
    </w:rPr>
  </w:style>
  <w:style w:type="paragraph" w:styleId="CommentSubject">
    <w:name w:val="annotation subject"/>
    <w:basedOn w:val="CommentText"/>
    <w:next w:val="CommentText"/>
    <w:link w:val="CommentSubjectChar"/>
    <w:uiPriority w:val="99"/>
    <w:semiHidden/>
    <w:unhideWhenUsed/>
    <w:rsid w:val="003F2931"/>
    <w:rPr>
      <w:b/>
      <w:bCs/>
    </w:rPr>
  </w:style>
  <w:style w:type="character" w:customStyle="1" w:styleId="CommentSubjectChar">
    <w:name w:val="Comment Subject Char"/>
    <w:basedOn w:val="CommentTextChar"/>
    <w:link w:val="CommentSubject"/>
    <w:uiPriority w:val="99"/>
    <w:semiHidden/>
    <w:rsid w:val="003F2931"/>
    <w:rPr>
      <w:b/>
      <w:bCs/>
      <w:sz w:val="20"/>
      <w:szCs w:val="20"/>
    </w:rPr>
  </w:style>
  <w:style w:type="paragraph" w:styleId="Header">
    <w:name w:val="header"/>
    <w:basedOn w:val="Normal"/>
    <w:link w:val="HeaderChar"/>
    <w:uiPriority w:val="99"/>
    <w:unhideWhenUsed/>
    <w:rsid w:val="0079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99"/>
  </w:style>
  <w:style w:type="paragraph" w:styleId="Footer">
    <w:name w:val="footer"/>
    <w:basedOn w:val="Normal"/>
    <w:link w:val="FooterChar"/>
    <w:uiPriority w:val="99"/>
    <w:unhideWhenUsed/>
    <w:rsid w:val="0079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99"/>
  </w:style>
  <w:style w:type="character" w:styleId="Hyperlink">
    <w:name w:val="Hyperlink"/>
    <w:basedOn w:val="DefaultParagraphFont"/>
    <w:uiPriority w:val="99"/>
    <w:unhideWhenUsed/>
    <w:rsid w:val="0082053F"/>
    <w:rPr>
      <w:color w:val="0000FF"/>
      <w:u w:val="single"/>
    </w:rPr>
  </w:style>
  <w:style w:type="paragraph" w:styleId="Revision">
    <w:name w:val="Revision"/>
    <w:hidden/>
    <w:uiPriority w:val="99"/>
    <w:semiHidden/>
    <w:rsid w:val="009629D8"/>
    <w:pPr>
      <w:spacing w:after="0" w:line="240" w:lineRule="auto"/>
    </w:pPr>
  </w:style>
  <w:style w:type="paragraph" w:styleId="FootnoteText">
    <w:name w:val="footnote text"/>
    <w:basedOn w:val="Normal"/>
    <w:link w:val="FootnoteTextChar"/>
    <w:uiPriority w:val="99"/>
    <w:semiHidden/>
    <w:unhideWhenUsed/>
    <w:rsid w:val="00A6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A11"/>
    <w:rPr>
      <w:sz w:val="20"/>
      <w:szCs w:val="20"/>
    </w:rPr>
  </w:style>
  <w:style w:type="character" w:styleId="FootnoteReference">
    <w:name w:val="footnote reference"/>
    <w:basedOn w:val="DefaultParagraphFont"/>
    <w:uiPriority w:val="99"/>
    <w:semiHidden/>
    <w:unhideWhenUsed/>
    <w:rsid w:val="00A62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256">
      <w:bodyDiv w:val="1"/>
      <w:marLeft w:val="0"/>
      <w:marRight w:val="0"/>
      <w:marTop w:val="0"/>
      <w:marBottom w:val="0"/>
      <w:divBdr>
        <w:top w:val="none" w:sz="0" w:space="0" w:color="auto"/>
        <w:left w:val="none" w:sz="0" w:space="0" w:color="auto"/>
        <w:bottom w:val="none" w:sz="0" w:space="0" w:color="auto"/>
        <w:right w:val="none" w:sz="0" w:space="0" w:color="auto"/>
      </w:divBdr>
    </w:div>
    <w:div w:id="186725156">
      <w:bodyDiv w:val="1"/>
      <w:marLeft w:val="0"/>
      <w:marRight w:val="0"/>
      <w:marTop w:val="0"/>
      <w:marBottom w:val="0"/>
      <w:divBdr>
        <w:top w:val="none" w:sz="0" w:space="0" w:color="auto"/>
        <w:left w:val="none" w:sz="0" w:space="0" w:color="auto"/>
        <w:bottom w:val="none" w:sz="0" w:space="0" w:color="auto"/>
        <w:right w:val="none" w:sz="0" w:space="0" w:color="auto"/>
      </w:divBdr>
    </w:div>
    <w:div w:id="242491631">
      <w:bodyDiv w:val="1"/>
      <w:marLeft w:val="0"/>
      <w:marRight w:val="0"/>
      <w:marTop w:val="0"/>
      <w:marBottom w:val="0"/>
      <w:divBdr>
        <w:top w:val="none" w:sz="0" w:space="0" w:color="auto"/>
        <w:left w:val="none" w:sz="0" w:space="0" w:color="auto"/>
        <w:bottom w:val="none" w:sz="0" w:space="0" w:color="auto"/>
        <w:right w:val="none" w:sz="0" w:space="0" w:color="auto"/>
      </w:divBdr>
    </w:div>
    <w:div w:id="678116614">
      <w:bodyDiv w:val="1"/>
      <w:marLeft w:val="0"/>
      <w:marRight w:val="0"/>
      <w:marTop w:val="0"/>
      <w:marBottom w:val="0"/>
      <w:divBdr>
        <w:top w:val="none" w:sz="0" w:space="0" w:color="auto"/>
        <w:left w:val="none" w:sz="0" w:space="0" w:color="auto"/>
        <w:bottom w:val="none" w:sz="0" w:space="0" w:color="auto"/>
        <w:right w:val="none" w:sz="0" w:space="0" w:color="auto"/>
      </w:divBdr>
    </w:div>
    <w:div w:id="1072043386">
      <w:bodyDiv w:val="1"/>
      <w:marLeft w:val="0"/>
      <w:marRight w:val="0"/>
      <w:marTop w:val="0"/>
      <w:marBottom w:val="0"/>
      <w:divBdr>
        <w:top w:val="none" w:sz="0" w:space="0" w:color="auto"/>
        <w:left w:val="none" w:sz="0" w:space="0" w:color="auto"/>
        <w:bottom w:val="none" w:sz="0" w:space="0" w:color="auto"/>
        <w:right w:val="none" w:sz="0" w:space="0" w:color="auto"/>
      </w:divBdr>
    </w:div>
    <w:div w:id="1138915529">
      <w:bodyDiv w:val="1"/>
      <w:marLeft w:val="0"/>
      <w:marRight w:val="0"/>
      <w:marTop w:val="0"/>
      <w:marBottom w:val="0"/>
      <w:divBdr>
        <w:top w:val="none" w:sz="0" w:space="0" w:color="auto"/>
        <w:left w:val="none" w:sz="0" w:space="0" w:color="auto"/>
        <w:bottom w:val="none" w:sz="0" w:space="0" w:color="auto"/>
        <w:right w:val="none" w:sz="0" w:space="0" w:color="auto"/>
      </w:divBdr>
    </w:div>
    <w:div w:id="1213233957">
      <w:bodyDiv w:val="1"/>
      <w:marLeft w:val="0"/>
      <w:marRight w:val="0"/>
      <w:marTop w:val="0"/>
      <w:marBottom w:val="0"/>
      <w:divBdr>
        <w:top w:val="none" w:sz="0" w:space="0" w:color="auto"/>
        <w:left w:val="none" w:sz="0" w:space="0" w:color="auto"/>
        <w:bottom w:val="none" w:sz="0" w:space="0" w:color="auto"/>
        <w:right w:val="none" w:sz="0" w:space="0" w:color="auto"/>
      </w:divBdr>
    </w:div>
    <w:div w:id="1244027734">
      <w:bodyDiv w:val="1"/>
      <w:marLeft w:val="0"/>
      <w:marRight w:val="0"/>
      <w:marTop w:val="0"/>
      <w:marBottom w:val="0"/>
      <w:divBdr>
        <w:top w:val="none" w:sz="0" w:space="0" w:color="auto"/>
        <w:left w:val="none" w:sz="0" w:space="0" w:color="auto"/>
        <w:bottom w:val="none" w:sz="0" w:space="0" w:color="auto"/>
        <w:right w:val="none" w:sz="0" w:space="0" w:color="auto"/>
      </w:divBdr>
    </w:div>
    <w:div w:id="1583491254">
      <w:bodyDiv w:val="1"/>
      <w:marLeft w:val="0"/>
      <w:marRight w:val="0"/>
      <w:marTop w:val="0"/>
      <w:marBottom w:val="0"/>
      <w:divBdr>
        <w:top w:val="none" w:sz="0" w:space="0" w:color="auto"/>
        <w:left w:val="none" w:sz="0" w:space="0" w:color="auto"/>
        <w:bottom w:val="none" w:sz="0" w:space="0" w:color="auto"/>
        <w:right w:val="none" w:sz="0" w:space="0" w:color="auto"/>
      </w:divBdr>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75782751">
      <w:bodyDiv w:val="1"/>
      <w:marLeft w:val="0"/>
      <w:marRight w:val="0"/>
      <w:marTop w:val="0"/>
      <w:marBottom w:val="0"/>
      <w:divBdr>
        <w:top w:val="none" w:sz="0" w:space="0" w:color="auto"/>
        <w:left w:val="none" w:sz="0" w:space="0" w:color="auto"/>
        <w:bottom w:val="none" w:sz="0" w:space="0" w:color="auto"/>
        <w:right w:val="none" w:sz="0" w:space="0" w:color="auto"/>
      </w:divBdr>
    </w:div>
    <w:div w:id="1802846798">
      <w:bodyDiv w:val="1"/>
      <w:marLeft w:val="0"/>
      <w:marRight w:val="0"/>
      <w:marTop w:val="0"/>
      <w:marBottom w:val="0"/>
      <w:divBdr>
        <w:top w:val="none" w:sz="0" w:space="0" w:color="auto"/>
        <w:left w:val="none" w:sz="0" w:space="0" w:color="auto"/>
        <w:bottom w:val="none" w:sz="0" w:space="0" w:color="auto"/>
        <w:right w:val="none" w:sz="0" w:space="0" w:color="auto"/>
      </w:divBdr>
    </w:div>
    <w:div w:id="1869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B51B99AE433749A441E746BA5A567F" ma:contentTypeVersion="1" ma:contentTypeDescription="Create a new document." ma:contentTypeScope="" ma:versionID="7a40ed95de982d77b998b40be8597ead">
  <xsd:schema xmlns:xsd="http://www.w3.org/2001/XMLSchema" xmlns:xs="http://www.w3.org/2001/XMLSchema" xmlns:p="http://schemas.microsoft.com/office/2006/metadata/properties" xmlns:ns2="6a978725-5a88-4cdf-a27e-fd2564ea02c0" targetNamespace="http://schemas.microsoft.com/office/2006/metadata/properties" ma:root="true" ma:fieldsID="84554b46c1a5768c6cefbddf1f5e35ac" ns2:_="">
    <xsd:import namespace="6a978725-5a88-4cdf-a27e-fd2564ea02c0"/>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78725-5a88-4cdf-a27e-fd2564ea02c0"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6a978725-5a88-4cdf-a27e-fd2564ea02c0" xsi:nil="true"/>
  </documentManagement>
</p:properties>
</file>

<file path=customXml/itemProps1.xml><?xml version="1.0" encoding="utf-8"?>
<ds:datastoreItem xmlns:ds="http://schemas.openxmlformats.org/officeDocument/2006/customXml" ds:itemID="{B7593262-82AF-454C-9364-9196FEED9FA3}"/>
</file>

<file path=customXml/itemProps2.xml><?xml version="1.0" encoding="utf-8"?>
<ds:datastoreItem xmlns:ds="http://schemas.openxmlformats.org/officeDocument/2006/customXml" ds:itemID="{EA0D6FEC-4ACE-4ADE-9024-69393302A079}"/>
</file>

<file path=customXml/itemProps3.xml><?xml version="1.0" encoding="utf-8"?>
<ds:datastoreItem xmlns:ds="http://schemas.openxmlformats.org/officeDocument/2006/customXml" ds:itemID="{F641C89B-D173-41BA-8DF1-8237A5DBA2C2}"/>
</file>

<file path=customXml/itemProps4.xml><?xml version="1.0" encoding="utf-8"?>
<ds:datastoreItem xmlns:ds="http://schemas.openxmlformats.org/officeDocument/2006/customXml" ds:itemID="{07592519-F698-4F04-BC95-319C288963B9}"/>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 Gormley</dc:creator>
  <cp:lastModifiedBy>Scot Gormley</cp:lastModifiedBy>
  <cp:revision>3</cp:revision>
  <cp:lastPrinted>2013-06-19T20:58:00Z</cp:lastPrinted>
  <dcterms:created xsi:type="dcterms:W3CDTF">2013-09-06T10:38:00Z</dcterms:created>
  <dcterms:modified xsi:type="dcterms:W3CDTF">2013-09-27T15:30:00Z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-415870518</vt:i4>
  </property>
  <property fmtid="{D5CDD505-2E9C-101B-9397-08002B2CF9AE}" pid="3" name="_NewReviewCycle">
    <vt:lpwstr/>
  </property>
  <property fmtid="{D5CDD505-2E9C-101B-9397-08002B2CF9AE}" pid="4" name="_EmailSubject">
    <vt:lpwstr>Negotiating Rates w/Subs Having Inadequate Project Accounting System</vt:lpwstr>
  </property>
  <property fmtid="{D5CDD505-2E9C-101B-9397-08002B2CF9AE}" pid="5" name="_AuthorEmail">
    <vt:lpwstr>keenr@dot.state.al.us</vt:lpwstr>
  </property>
  <property fmtid="{D5CDD505-2E9C-101B-9397-08002B2CF9AE}" pid="6" name="_AuthorEmailDisplayName">
    <vt:lpwstr>Keen, Roy</vt:lpwstr>
  </property>
  <property fmtid="{D5CDD505-2E9C-101B-9397-08002B2CF9AE}" pid="7" name="_ReviewingToolsShownOnce">
    <vt:lpwstr/>
  </property>
  <property fmtid="{D5CDD505-2E9C-101B-9397-08002B2CF9AE}" pid="8" name="ContentTypeId">
    <vt:lpwstr>0x0101001CB51B99AE433749A441E746BA5A567F</vt:lpwstr>
  </property>
</Properties>
</file>